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299" w:rsidRPr="00AD4299" w:rsidRDefault="00AD4299" w:rsidP="00AD4299">
      <w:pPr>
        <w:autoSpaceDE w:val="0"/>
        <w:autoSpaceDN w:val="0"/>
        <w:adjustRightInd w:val="0"/>
        <w:rPr>
          <w:rFonts w:asciiTheme="minorHAnsi" w:hAnsiTheme="minorHAnsi" w:cstheme="minorHAnsi"/>
          <w:b/>
          <w:bCs/>
          <w:color w:val="000000"/>
          <w:sz w:val="22"/>
          <w:szCs w:val="22"/>
        </w:rPr>
      </w:pPr>
      <w:r w:rsidRPr="00AD4299">
        <w:rPr>
          <w:rFonts w:asciiTheme="minorHAnsi" w:hAnsiTheme="minorHAnsi" w:cstheme="minorHAnsi"/>
          <w:b/>
          <w:color w:val="FF0000"/>
          <w:sz w:val="22"/>
          <w:szCs w:val="22"/>
        </w:rPr>
        <w:t>A.V.16</w:t>
      </w:r>
      <w:r w:rsidRPr="00AD4299">
        <w:rPr>
          <w:rFonts w:asciiTheme="minorHAnsi" w:hAnsiTheme="minorHAnsi" w:cstheme="minorHAnsi"/>
          <w:color w:val="FF0000"/>
          <w:sz w:val="22"/>
          <w:szCs w:val="22"/>
        </w:rPr>
        <w:tab/>
      </w:r>
      <w:r w:rsidRPr="00AD4299">
        <w:rPr>
          <w:rFonts w:asciiTheme="minorHAnsi" w:hAnsiTheme="minorHAnsi" w:cstheme="minorHAnsi"/>
          <w:b/>
          <w:bCs/>
          <w:color w:val="000000"/>
          <w:sz w:val="28"/>
          <w:szCs w:val="28"/>
        </w:rPr>
        <w:t>Premie en schadebetaling</w:t>
      </w:r>
    </w:p>
    <w:p w:rsidR="00AD4299" w:rsidRPr="00AD4299" w:rsidRDefault="00AD4299" w:rsidP="00AD4299">
      <w:pPr>
        <w:spacing w:line="300" w:lineRule="exact"/>
        <w:ind w:left="1260" w:hanging="1260"/>
        <w:jc w:val="both"/>
        <w:rPr>
          <w:rFonts w:asciiTheme="minorHAnsi" w:hAnsiTheme="minorHAnsi" w:cstheme="minorHAnsi"/>
          <w:b/>
          <w:color w:val="FF0000"/>
          <w:sz w:val="22"/>
          <w:szCs w:val="22"/>
        </w:rPr>
      </w:pPr>
    </w:p>
    <w:p w:rsidR="00AD4299" w:rsidRPr="00AD4299" w:rsidRDefault="00AD4299" w:rsidP="00AD4299">
      <w:pPr>
        <w:autoSpaceDE w:val="0"/>
        <w:autoSpaceDN w:val="0"/>
        <w:adjustRightInd w:val="0"/>
        <w:rPr>
          <w:rFonts w:asciiTheme="minorHAnsi" w:hAnsiTheme="minorHAnsi" w:cstheme="minorHAnsi"/>
          <w:b/>
          <w:bCs/>
          <w:color w:val="000000"/>
          <w:sz w:val="22"/>
          <w:szCs w:val="22"/>
        </w:rPr>
      </w:pPr>
      <w:r w:rsidRPr="00AD4299">
        <w:rPr>
          <w:rFonts w:asciiTheme="minorHAnsi" w:hAnsiTheme="minorHAnsi" w:cstheme="minorHAnsi"/>
          <w:b/>
          <w:bCs/>
          <w:color w:val="000000"/>
          <w:sz w:val="22"/>
          <w:szCs w:val="22"/>
        </w:rPr>
        <w:t xml:space="preserve">16 </w:t>
      </w:r>
      <w:r w:rsidR="005D7850">
        <w:rPr>
          <w:rFonts w:asciiTheme="minorHAnsi" w:hAnsiTheme="minorHAnsi" w:cstheme="minorHAnsi"/>
          <w:b/>
          <w:bCs/>
          <w:color w:val="000000"/>
          <w:sz w:val="22"/>
          <w:szCs w:val="22"/>
        </w:rPr>
        <w:t>1</w:t>
      </w:r>
      <w:r w:rsidR="005D7850">
        <w:rPr>
          <w:rFonts w:asciiTheme="minorHAnsi" w:hAnsiTheme="minorHAnsi" w:cstheme="minorHAnsi"/>
          <w:b/>
          <w:bCs/>
          <w:color w:val="000000"/>
          <w:sz w:val="22"/>
          <w:szCs w:val="22"/>
        </w:rPr>
        <w:tab/>
      </w:r>
      <w:r w:rsidRPr="00AD4299">
        <w:rPr>
          <w:rFonts w:asciiTheme="minorHAnsi" w:hAnsiTheme="minorHAnsi" w:cstheme="minorHAnsi"/>
          <w:b/>
          <w:bCs/>
          <w:color w:val="000000"/>
          <w:sz w:val="22"/>
          <w:szCs w:val="22"/>
        </w:rPr>
        <w:t>Begripsomschrijvingen</w:t>
      </w:r>
    </w:p>
    <w:p w:rsidR="00AD4299" w:rsidRPr="00AD4299" w:rsidRDefault="00AD4299" w:rsidP="00AD4299">
      <w:pPr>
        <w:numPr>
          <w:ilvl w:val="1"/>
          <w:numId w:val="2"/>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Onder "premie" wordt voor de toepassing van dit artikel mede verstaan de overige in verband met het verlenen van verzekeringsdekking door verzekerde verschuldigde bedragen.</w:t>
      </w:r>
    </w:p>
    <w:p w:rsidR="00AD4299" w:rsidRPr="00AD4299" w:rsidRDefault="00AD4299" w:rsidP="00AD4299">
      <w:pPr>
        <w:numPr>
          <w:ilvl w:val="1"/>
          <w:numId w:val="2"/>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Onder "verzekerde" wordt voor de toepassing van dit artikel mede verstaan de verzekeringn</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mer alsmede ieder ander die de premie verschuldigd is.</w:t>
      </w:r>
    </w:p>
    <w:p w:rsidR="00AD4299" w:rsidRPr="00AD4299" w:rsidRDefault="00AD4299" w:rsidP="00AD4299">
      <w:p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 </w:t>
      </w:r>
    </w:p>
    <w:p w:rsidR="00AD4299" w:rsidRPr="00AD4299" w:rsidRDefault="00AD4299" w:rsidP="00B52133">
      <w:pPr>
        <w:numPr>
          <w:ilvl w:val="1"/>
          <w:numId w:val="1"/>
        </w:numPr>
        <w:tabs>
          <w:tab w:val="clear" w:pos="795"/>
          <w:tab w:val="num" w:pos="709"/>
        </w:tabs>
        <w:autoSpaceDE w:val="0"/>
        <w:autoSpaceDN w:val="0"/>
        <w:adjustRightInd w:val="0"/>
        <w:rPr>
          <w:rFonts w:asciiTheme="minorHAnsi" w:hAnsiTheme="minorHAnsi" w:cstheme="minorHAnsi"/>
          <w:b/>
          <w:bCs/>
          <w:color w:val="000000"/>
          <w:sz w:val="22"/>
          <w:szCs w:val="22"/>
        </w:rPr>
      </w:pPr>
      <w:r w:rsidRPr="00AD4299">
        <w:rPr>
          <w:rFonts w:asciiTheme="minorHAnsi" w:hAnsiTheme="minorHAnsi" w:cstheme="minorHAnsi"/>
          <w:b/>
          <w:bCs/>
          <w:color w:val="000000"/>
          <w:sz w:val="22"/>
          <w:szCs w:val="22"/>
        </w:rPr>
        <w:t>Premie</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De makelaar neemt op zich de premie als eigen schuld aan de verzekeraar(s) te zullen voldoen op het moment dat deze krachtens de verzekeringsovereenkomst verschuldigd wordt door de verzekerde. Tenzij uitdrukkelijk anders is of wordt overeengekomen zal betaling van de premie door de makelaar plaatsvinden door creditering van verzekeraar(s) in rekening-courant voor de krachtens de verzekeringsovereenkomst door de verzekerde verschuldigde premie, op welk moment de verzekerde jegens verzekeraar(s) zal zijn gekweten.</w:t>
      </w:r>
    </w:p>
    <w:p w:rsidR="00AD4299" w:rsidRPr="00AD4299" w:rsidRDefault="00AD4299" w:rsidP="00AD4299">
      <w:pPr>
        <w:autoSpaceDE w:val="0"/>
        <w:autoSpaceDN w:val="0"/>
        <w:adjustRightInd w:val="0"/>
        <w:ind w:left="180"/>
        <w:rPr>
          <w:rFonts w:asciiTheme="minorHAnsi" w:hAnsiTheme="minorHAnsi" w:cstheme="minorHAnsi"/>
          <w:color w:val="000000"/>
          <w:sz w:val="22"/>
          <w:szCs w:val="22"/>
        </w:rPr>
      </w:pP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Verzekerde is gehouden de premie aan de makelaar te vergoeden. Ingeval de verzekering via een tweede tussenpersoon is gesloten en de verzekerde aan deze tweede tussenpersoon heeft betaald, is de verzekerde door deze betaling tegenover de makelaar eerst gekweten, nadat d</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ze tweede tussenpersoon de premie aan de makelaar heeft betaald.</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Behoudens het hierna onder 2.4.1 t/m 2.4.3 geregelde geval van surseance van betaling of faillissement, verleent de makelaar verzekerde krediet voor de betaling van de onder 2.2 b</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doelde premie. De makelaar kan het krediet schriftelijk opzeggen en neemt daarbij een termijn van 14 dagen in acht.</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Door het tot stand komen van de verzekering is de makelaar door de verzekerde onherroepelijk gemachtigd verzekeraar(s) tussentijds van hun verplichtingen uit de verzekeringsovereenkomst te ontslaan indien de verzekerde of, ingeval de verzekering via een tweede tussenpersoon is gesloten, deze tweede tussenpersoon nalaat de premie aan de makelaar te voldoen en de m</w:t>
      </w:r>
      <w:r w:rsidRPr="00AD4299">
        <w:rPr>
          <w:rFonts w:asciiTheme="minorHAnsi" w:hAnsiTheme="minorHAnsi" w:cstheme="minorHAnsi"/>
          <w:color w:val="000000"/>
          <w:sz w:val="22"/>
          <w:szCs w:val="22"/>
        </w:rPr>
        <w:t>a</w:t>
      </w:r>
      <w:r w:rsidRPr="00AD4299">
        <w:rPr>
          <w:rFonts w:asciiTheme="minorHAnsi" w:hAnsiTheme="minorHAnsi" w:cstheme="minorHAnsi"/>
          <w:color w:val="000000"/>
          <w:sz w:val="22"/>
          <w:szCs w:val="22"/>
        </w:rPr>
        <w:t>kelaar deswege het krediet opzegt.</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De makelaar zal verzekeraar(s) niet van hun verplichtingen ontslaan zonder verzekerde vooraf, met inachtneming van een termijn van 14 dagen, schriftelijk van zijn voornemen in kennis te hebben gesteld.</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In geval de verzekerde in staat van faillissement of surseance van betaling geraakt eindigt een op grond van het bepaalde onder 2.3.1 lopend krediet onmiddellijk en zijn verzekeraars ontsl</w:t>
      </w:r>
      <w:r w:rsidRPr="00AD4299">
        <w:rPr>
          <w:rFonts w:asciiTheme="minorHAnsi" w:hAnsiTheme="minorHAnsi" w:cstheme="minorHAnsi"/>
          <w:color w:val="000000"/>
          <w:sz w:val="22"/>
          <w:szCs w:val="22"/>
        </w:rPr>
        <w:t>a</w:t>
      </w:r>
      <w:r w:rsidRPr="00AD4299">
        <w:rPr>
          <w:rFonts w:asciiTheme="minorHAnsi" w:hAnsiTheme="minorHAnsi" w:cstheme="minorHAnsi"/>
          <w:color w:val="000000"/>
          <w:sz w:val="22"/>
          <w:szCs w:val="22"/>
        </w:rPr>
        <w:t xml:space="preserve">gen van hun nadien uit hoofde van de verzekeringsovereenkomst ontstane verplichtingen. </w:t>
      </w:r>
    </w:p>
    <w:p w:rsidR="00AD4299" w:rsidRPr="00AD4299" w:rsidRDefault="00AD4299" w:rsidP="00AD4299">
      <w:pPr>
        <w:numPr>
          <w:ilvl w:val="1"/>
          <w:numId w:val="3"/>
        </w:numPr>
        <w:autoSpaceDE w:val="0"/>
        <w:autoSpaceDN w:val="0"/>
        <w:adjustRightInd w:val="0"/>
        <w:ind w:left="708" w:hanging="708"/>
        <w:rPr>
          <w:rFonts w:asciiTheme="minorHAnsi" w:hAnsiTheme="minorHAnsi" w:cstheme="minorHAnsi"/>
          <w:color w:val="000000"/>
          <w:sz w:val="22"/>
          <w:szCs w:val="22"/>
        </w:rPr>
      </w:pPr>
      <w:r w:rsidRPr="00AD4299">
        <w:rPr>
          <w:rFonts w:asciiTheme="minorHAnsi" w:hAnsiTheme="minorHAnsi" w:cstheme="minorHAnsi"/>
          <w:color w:val="000000"/>
          <w:sz w:val="22"/>
          <w:szCs w:val="22"/>
        </w:rPr>
        <w:t>Deze rechtsgevolgen treden in door het enkele uitspreken van het faillissement of de surseance zonder dat voorafgaande ingebrekestelling is vereist. De dekking kan evenwel ten behoeve van de overige verzekerden en/of boedel in overleg met hen,</w:t>
      </w:r>
      <w:r w:rsidRPr="00AD4299">
        <w:rPr>
          <w:rFonts w:asciiTheme="minorHAnsi" w:hAnsiTheme="minorHAnsi" w:cstheme="minorHAnsi"/>
          <w:color w:val="000000"/>
          <w:sz w:val="22"/>
          <w:szCs w:val="22"/>
        </w:rPr>
        <w:t xml:space="preserve"> </w:t>
      </w:r>
      <w:r w:rsidRPr="00AD4299">
        <w:rPr>
          <w:rFonts w:asciiTheme="minorHAnsi" w:hAnsiTheme="minorHAnsi" w:cstheme="minorHAnsi"/>
          <w:color w:val="000000"/>
          <w:sz w:val="22"/>
          <w:szCs w:val="22"/>
        </w:rPr>
        <w:t>verzekeraars, de makelaar en de cur</w:t>
      </w:r>
      <w:r w:rsidRPr="00AD4299">
        <w:rPr>
          <w:rFonts w:asciiTheme="minorHAnsi" w:hAnsiTheme="minorHAnsi" w:cstheme="minorHAnsi"/>
          <w:color w:val="000000"/>
          <w:sz w:val="22"/>
          <w:szCs w:val="22"/>
        </w:rPr>
        <w:t>a</w:t>
      </w:r>
      <w:r w:rsidRPr="00AD4299">
        <w:rPr>
          <w:rFonts w:asciiTheme="minorHAnsi" w:hAnsiTheme="minorHAnsi" w:cstheme="minorHAnsi"/>
          <w:color w:val="000000"/>
          <w:sz w:val="22"/>
          <w:szCs w:val="22"/>
        </w:rPr>
        <w:t>tor of bewindvoerder alsnog en met terugwerkende kracht he</w:t>
      </w:r>
      <w:r w:rsidRPr="00AD4299">
        <w:rPr>
          <w:rFonts w:asciiTheme="minorHAnsi" w:hAnsiTheme="minorHAnsi" w:cstheme="minorHAnsi"/>
          <w:color w:val="000000"/>
          <w:sz w:val="22"/>
          <w:szCs w:val="22"/>
        </w:rPr>
        <w:t>r</w:t>
      </w:r>
      <w:r w:rsidRPr="00AD4299">
        <w:rPr>
          <w:rFonts w:asciiTheme="minorHAnsi" w:hAnsiTheme="minorHAnsi" w:cstheme="minorHAnsi"/>
          <w:color w:val="000000"/>
          <w:sz w:val="22"/>
          <w:szCs w:val="22"/>
        </w:rPr>
        <w:t xml:space="preserve">steld worden derhalve ook ten aanzien van na de datum van faillissement of surseance gevallen schaden, indien en voor zover de makelaar zekerheid heeft gekregen over betaling aan hem van de totaal alsdan verschuldigde premie. </w:t>
      </w:r>
    </w:p>
    <w:p w:rsidR="00AD4299" w:rsidRPr="00AD4299" w:rsidRDefault="00AD4299" w:rsidP="00AD4299">
      <w:pPr>
        <w:numPr>
          <w:ilvl w:val="1"/>
          <w:numId w:val="3"/>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Het overleg hiertoe kan gevoerd worden gedurende een maand na de datum van het uitspreken van het faillissement of de surseance, of, indien dit later is, tot 14 dagen nadat de makelaar, de verzekerde, c.q. de bewindvoerder of curator over het vervallen van het krediet en het ontslag van de verzekeraars van hun verplichtingen en van de bevoegdheid tot het eventueel doen he</w:t>
      </w:r>
      <w:r w:rsidRPr="00AD4299">
        <w:rPr>
          <w:rFonts w:asciiTheme="minorHAnsi" w:hAnsiTheme="minorHAnsi" w:cstheme="minorHAnsi"/>
          <w:color w:val="000000"/>
          <w:sz w:val="22"/>
          <w:szCs w:val="22"/>
        </w:rPr>
        <w:t>r</w:t>
      </w:r>
      <w:r w:rsidRPr="00AD4299">
        <w:rPr>
          <w:rFonts w:asciiTheme="minorHAnsi" w:hAnsiTheme="minorHAnsi" w:cstheme="minorHAnsi"/>
          <w:color w:val="000000"/>
          <w:sz w:val="22"/>
          <w:szCs w:val="22"/>
        </w:rPr>
        <w:t>leven van de dekking in kennis heeft gesteld, Indien evenwel er geen krediet van de makelaar in de zin van deze cla</w:t>
      </w:r>
      <w:r w:rsidR="007C3704">
        <w:rPr>
          <w:rFonts w:asciiTheme="minorHAnsi" w:hAnsiTheme="minorHAnsi" w:cstheme="minorHAnsi"/>
          <w:color w:val="000000"/>
          <w:sz w:val="22"/>
          <w:szCs w:val="22"/>
        </w:rPr>
        <w:t>u</w:t>
      </w:r>
      <w:r w:rsidRPr="00AD4299">
        <w:rPr>
          <w:rFonts w:asciiTheme="minorHAnsi" w:hAnsiTheme="minorHAnsi" w:cstheme="minorHAnsi"/>
          <w:color w:val="000000"/>
          <w:sz w:val="22"/>
          <w:szCs w:val="22"/>
        </w:rPr>
        <w:t xml:space="preserve">sule meer van toepassing is op grond van het </w:t>
      </w:r>
      <w:r w:rsidRPr="00AD4299">
        <w:rPr>
          <w:rFonts w:asciiTheme="minorHAnsi" w:hAnsiTheme="minorHAnsi" w:cstheme="minorHAnsi"/>
          <w:color w:val="000000"/>
          <w:sz w:val="22"/>
          <w:szCs w:val="22"/>
        </w:rPr>
        <w:lastRenderedPageBreak/>
        <w:t xml:space="preserve">feit dat de verschuldigde premie al volledig aan de makelaar betaald werd zal art. AV 5.1. van toepassing zijn </w:t>
      </w:r>
    </w:p>
    <w:p w:rsidR="00AD4299" w:rsidRPr="00AD4299" w:rsidRDefault="00AD4299" w:rsidP="00AD4299">
      <w:p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 </w:t>
      </w:r>
    </w:p>
    <w:p w:rsidR="00AD4299" w:rsidRPr="00AD4299" w:rsidRDefault="00AD4299" w:rsidP="00AD4299">
      <w:p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b/>
          <w:bCs/>
          <w:color w:val="000000"/>
          <w:sz w:val="22"/>
          <w:szCs w:val="22"/>
        </w:rPr>
        <w:t>16.</w:t>
      </w:r>
      <w:r w:rsidR="00D52735">
        <w:rPr>
          <w:rFonts w:asciiTheme="minorHAnsi" w:hAnsiTheme="minorHAnsi" w:cstheme="minorHAnsi"/>
          <w:b/>
          <w:bCs/>
          <w:color w:val="000000"/>
          <w:sz w:val="22"/>
          <w:szCs w:val="22"/>
        </w:rPr>
        <w:t>3</w:t>
      </w:r>
      <w:r w:rsidR="00D52735">
        <w:rPr>
          <w:rFonts w:asciiTheme="minorHAnsi" w:hAnsiTheme="minorHAnsi" w:cstheme="minorHAnsi"/>
          <w:b/>
          <w:bCs/>
          <w:color w:val="000000"/>
          <w:sz w:val="22"/>
          <w:szCs w:val="22"/>
        </w:rPr>
        <w:tab/>
      </w:r>
      <w:r w:rsidRPr="00AD4299">
        <w:rPr>
          <w:rFonts w:asciiTheme="minorHAnsi" w:hAnsiTheme="minorHAnsi" w:cstheme="minorHAnsi"/>
          <w:b/>
          <w:bCs/>
          <w:color w:val="000000"/>
          <w:sz w:val="22"/>
          <w:szCs w:val="22"/>
        </w:rPr>
        <w:t>Schade-uitkeringen en premierestituties</w:t>
      </w:r>
    </w:p>
    <w:p w:rsidR="00AD4299" w:rsidRPr="00AD4299" w:rsidRDefault="00AD4299" w:rsidP="00AD4299">
      <w:pPr>
        <w:numPr>
          <w:ilvl w:val="1"/>
          <w:numId w:val="4"/>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Tenzij de rechthebbende anders wenst en dit vooraf schriftelijk aan verzekeraars heeft med</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gedeeld zal de makelaar verzekeraars in rekening-courant voor de verschuldigde schade-uitkeringen en premierestituties debiteren. Verzekeraars zullen daardoor zijn gekweten, zodra de schade-uitkering door de rechthebbende zal zijn ontvangen, respectievelijk met hem zal zijn verrekend in overeenstemming met de wet dan wel een tussen hem en de makelaar bestaande regeling. Indien de verzekeraars de schadepenningen hebben betaald aan de makelaar en d</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ze in gebreke blijft om deze aan de rechthebbende door te betalen, kunnen verzekeraars de schadepenningen van de makelaar terugvorderen indien zij tot hernieuwde betaling worden aangesproken door de rechthebbende. Indien de makelaar de van verzekeraars ontvangen schadepenningen heeft doorbetaald aan de tweede tussenpersoon, maar deze laatste in g</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breke blijft voor doorbetaling zorg te dragen, zal de makelaar de schadepenningen van de tweede tussenpersoon kunnen terugvorderen  indien hij hetzij door de rechthebbende wordt aangesproken tot rechtstreekse betaling, hetzij de verzekeraars die schadepenningen van de makelaar terugvorderen, zoals in dit lid voorzien.</w:t>
      </w:r>
    </w:p>
    <w:p w:rsidR="00AD4299" w:rsidRPr="00AD4299" w:rsidRDefault="00AD4299" w:rsidP="00AD4299">
      <w:pPr>
        <w:numPr>
          <w:ilvl w:val="1"/>
          <w:numId w:val="4"/>
        </w:numPr>
        <w:autoSpaceDE w:val="0"/>
        <w:autoSpaceDN w:val="0"/>
        <w:adjustRightInd w:val="0"/>
        <w:rPr>
          <w:rFonts w:asciiTheme="minorHAnsi" w:hAnsiTheme="minorHAnsi" w:cstheme="minorHAnsi"/>
          <w:color w:val="000000"/>
          <w:sz w:val="22"/>
          <w:szCs w:val="22"/>
        </w:rPr>
      </w:pPr>
      <w:r w:rsidRPr="00AD4299">
        <w:rPr>
          <w:rFonts w:asciiTheme="minorHAnsi" w:hAnsiTheme="minorHAnsi" w:cstheme="minorHAnsi"/>
          <w:color w:val="000000"/>
          <w:sz w:val="22"/>
          <w:szCs w:val="22"/>
        </w:rPr>
        <w:t>De makelaar zal de schade-uitkeringen en premierestituties aan de rechthebbende afdragen. De makelaar is evenwel tot niet meer gehouden dan tot betaling van het saldo dat resteert na verrekening van deze schade-uitkeringen en premierestituties met ten tijde van het ontstaan van de afdrachtverplichting</w:t>
      </w:r>
      <w:bookmarkStart w:id="0" w:name="_GoBack"/>
      <w:bookmarkEnd w:id="0"/>
      <w:r w:rsidRPr="00AD4299">
        <w:rPr>
          <w:rFonts w:asciiTheme="minorHAnsi" w:hAnsiTheme="minorHAnsi" w:cstheme="minorHAnsi"/>
          <w:color w:val="000000"/>
          <w:sz w:val="22"/>
          <w:szCs w:val="22"/>
        </w:rPr>
        <w:t xml:space="preserve"> al dan niet opeisbare doch reeds vaststaande vorderingen op ve</w:t>
      </w:r>
      <w:r w:rsidRPr="00AD4299">
        <w:rPr>
          <w:rFonts w:asciiTheme="minorHAnsi" w:hAnsiTheme="minorHAnsi" w:cstheme="minorHAnsi"/>
          <w:color w:val="000000"/>
          <w:sz w:val="22"/>
          <w:szCs w:val="22"/>
        </w:rPr>
        <w:t>r</w:t>
      </w:r>
      <w:r w:rsidRPr="00AD4299">
        <w:rPr>
          <w:rFonts w:asciiTheme="minorHAnsi" w:hAnsiTheme="minorHAnsi" w:cstheme="minorHAnsi"/>
          <w:color w:val="000000"/>
          <w:sz w:val="22"/>
          <w:szCs w:val="22"/>
        </w:rPr>
        <w:t>zekerde uit hoofde van welke verzekering ook. Deze verrekening zal evenwel niet plaatsvinden bij verzekeringen die aan toonder of order zijn gesteld, tenzij de verzekeringnemer tot de uitk</w:t>
      </w:r>
      <w:r w:rsidRPr="00AD4299">
        <w:rPr>
          <w:rFonts w:asciiTheme="minorHAnsi" w:hAnsiTheme="minorHAnsi" w:cstheme="minorHAnsi"/>
          <w:color w:val="000000"/>
          <w:sz w:val="22"/>
          <w:szCs w:val="22"/>
        </w:rPr>
        <w:t>e</w:t>
      </w:r>
      <w:r w:rsidRPr="00AD4299">
        <w:rPr>
          <w:rFonts w:asciiTheme="minorHAnsi" w:hAnsiTheme="minorHAnsi" w:cstheme="minorHAnsi"/>
          <w:color w:val="000000"/>
          <w:sz w:val="22"/>
          <w:szCs w:val="22"/>
        </w:rPr>
        <w:t>ring is gerechtigd en bi</w:t>
      </w:r>
      <w:r w:rsidR="00E91C7E">
        <w:rPr>
          <w:rFonts w:asciiTheme="minorHAnsi" w:hAnsiTheme="minorHAnsi" w:cstheme="minorHAnsi"/>
          <w:color w:val="000000"/>
          <w:sz w:val="22"/>
          <w:szCs w:val="22"/>
        </w:rPr>
        <w:t>j verplichte aansprakelijkheids</w:t>
      </w:r>
      <w:r w:rsidRPr="00AD4299">
        <w:rPr>
          <w:rFonts w:asciiTheme="minorHAnsi" w:hAnsiTheme="minorHAnsi" w:cstheme="minorHAnsi"/>
          <w:color w:val="000000"/>
          <w:sz w:val="22"/>
          <w:szCs w:val="22"/>
        </w:rPr>
        <w:t>verzekeringen. Indien op het recht op ui</w:t>
      </w:r>
      <w:r w:rsidRPr="00AD4299">
        <w:rPr>
          <w:rFonts w:asciiTheme="minorHAnsi" w:hAnsiTheme="minorHAnsi" w:cstheme="minorHAnsi"/>
          <w:color w:val="000000"/>
          <w:sz w:val="22"/>
          <w:szCs w:val="22"/>
        </w:rPr>
        <w:t>t</w:t>
      </w:r>
      <w:r w:rsidRPr="00AD4299">
        <w:rPr>
          <w:rFonts w:asciiTheme="minorHAnsi" w:hAnsiTheme="minorHAnsi" w:cstheme="minorHAnsi"/>
          <w:color w:val="000000"/>
          <w:sz w:val="22"/>
          <w:szCs w:val="22"/>
        </w:rPr>
        <w:t>kering een pandrecht rust als bedoeld in artikel 3:229 BW, ofwel een voorrecht als bedoeld in art 3:283 BW, alsook in geval van een onverplichte verzekering tegen aansprakelijkheid, zal de verrekening zich niet verder uitstrekken dan tot hetgeen de verzekeringnemer verschuldigd is ter zake van de verzekering waarop de uitkering wordt gedaan.</w:t>
      </w:r>
    </w:p>
    <w:p w:rsidR="00B53D40" w:rsidRPr="00AD4299" w:rsidRDefault="00B53D40">
      <w:pPr>
        <w:rPr>
          <w:rFonts w:asciiTheme="minorHAnsi" w:hAnsiTheme="minorHAnsi" w:cstheme="minorHAnsi"/>
          <w:sz w:val="22"/>
          <w:szCs w:val="22"/>
        </w:rPr>
      </w:pPr>
    </w:p>
    <w:sectPr w:rsidR="00B53D40" w:rsidRPr="00AD42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37D9E"/>
    <w:multiLevelType w:val="multilevel"/>
    <w:tmpl w:val="D6B45816"/>
    <w:lvl w:ilvl="0">
      <w:start w:val="16"/>
      <w:numFmt w:val="decimal"/>
      <w:lvlText w:val="%1"/>
      <w:lvlJc w:val="left"/>
      <w:pPr>
        <w:tabs>
          <w:tab w:val="num" w:pos="795"/>
        </w:tabs>
        <w:ind w:left="795" w:hanging="795"/>
      </w:pPr>
      <w:rPr>
        <w:rFonts w:cs="Times New Roman" w:hint="default"/>
      </w:rPr>
    </w:lvl>
    <w:lvl w:ilvl="1">
      <w:start w:val="2"/>
      <w:numFmt w:val="decimal"/>
      <w:lvlText w:val="%1.2"/>
      <w:lvlJc w:val="left"/>
      <w:pPr>
        <w:tabs>
          <w:tab w:val="num" w:pos="795"/>
        </w:tabs>
        <w:ind w:left="795" w:hanging="795"/>
      </w:pPr>
      <w:rPr>
        <w:rFonts w:cs="Times New Roman" w:hint="default"/>
      </w:rPr>
    </w:lvl>
    <w:lvl w:ilvl="2">
      <w:start w:val="1"/>
      <w:numFmt w:val="decimal"/>
      <w:lvlText w:val="%1.%2.%3"/>
      <w:lvlJc w:val="left"/>
      <w:pPr>
        <w:tabs>
          <w:tab w:val="num" w:pos="795"/>
        </w:tabs>
        <w:ind w:left="795" w:hanging="795"/>
      </w:pPr>
      <w:rPr>
        <w:rFonts w:cs="Times New Roman" w:hint="default"/>
      </w:rPr>
    </w:lvl>
    <w:lvl w:ilvl="3">
      <w:start w:val="1"/>
      <w:numFmt w:val="decimal"/>
      <w:lvlText w:val="%1.%2.%3.%4"/>
      <w:lvlJc w:val="left"/>
      <w:pPr>
        <w:tabs>
          <w:tab w:val="num" w:pos="795"/>
        </w:tabs>
        <w:ind w:left="795" w:hanging="795"/>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2D2236A2"/>
    <w:multiLevelType w:val="multilevel"/>
    <w:tmpl w:val="470AC402"/>
    <w:lvl w:ilvl="0">
      <w:start w:val="3"/>
      <w:numFmt w:val="decimal"/>
      <w:lvlText w:val="%1"/>
      <w:lvlJc w:val="left"/>
      <w:pPr>
        <w:tabs>
          <w:tab w:val="num" w:pos="690"/>
        </w:tabs>
        <w:ind w:left="690" w:hanging="690"/>
      </w:pPr>
      <w:rPr>
        <w:rFonts w:cs="Times New Roman" w:hint="default"/>
      </w:rPr>
    </w:lvl>
    <w:lvl w:ilvl="1">
      <w:start w:val="1"/>
      <w:numFmt w:val="decimal"/>
      <w:lvlText w:val="16.%1.%2"/>
      <w:lvlJc w:val="left"/>
      <w:pPr>
        <w:tabs>
          <w:tab w:val="num" w:pos="720"/>
        </w:tabs>
        <w:ind w:left="720" w:hanging="720"/>
      </w:pPr>
      <w:rPr>
        <w:rFonts w:cs="Times New Roman" w:hint="default"/>
      </w:rPr>
    </w:lvl>
    <w:lvl w:ilvl="2">
      <w:start w:val="1"/>
      <w:numFmt w:val="decimal"/>
      <w:lvlText w:val="16.%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nsid w:val="44B87EB1"/>
    <w:multiLevelType w:val="multilevel"/>
    <w:tmpl w:val="C44C2FF2"/>
    <w:lvl w:ilvl="0">
      <w:start w:val="2"/>
      <w:numFmt w:val="decimal"/>
      <w:lvlText w:val="%1"/>
      <w:lvlJc w:val="left"/>
      <w:pPr>
        <w:tabs>
          <w:tab w:val="num" w:pos="690"/>
        </w:tabs>
        <w:ind w:left="690" w:hanging="690"/>
      </w:pPr>
      <w:rPr>
        <w:rFonts w:cs="Times New Roman" w:hint="default"/>
      </w:rPr>
    </w:lvl>
    <w:lvl w:ilvl="1">
      <w:start w:val="1"/>
      <w:numFmt w:val="decimal"/>
      <w:lvlText w:val="16.%1.%2"/>
      <w:lvlJc w:val="left"/>
      <w:pPr>
        <w:tabs>
          <w:tab w:val="num" w:pos="720"/>
        </w:tabs>
        <w:ind w:left="720" w:hanging="720"/>
      </w:pPr>
      <w:rPr>
        <w:rFonts w:cs="Times New Roman" w:hint="default"/>
      </w:rPr>
    </w:lvl>
    <w:lvl w:ilvl="2">
      <w:start w:val="1"/>
      <w:numFmt w:val="decimal"/>
      <w:lvlText w:val="16.%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7E097DF9"/>
    <w:multiLevelType w:val="multilevel"/>
    <w:tmpl w:val="61823D82"/>
    <w:lvl w:ilvl="0">
      <w:start w:val="1"/>
      <w:numFmt w:val="decimal"/>
      <w:lvlText w:val="%1"/>
      <w:lvlJc w:val="left"/>
      <w:pPr>
        <w:tabs>
          <w:tab w:val="num" w:pos="690"/>
        </w:tabs>
        <w:ind w:left="690" w:hanging="690"/>
      </w:pPr>
      <w:rPr>
        <w:rFonts w:cs="Times New Roman" w:hint="default"/>
      </w:rPr>
    </w:lvl>
    <w:lvl w:ilvl="1">
      <w:start w:val="1"/>
      <w:numFmt w:val="decimal"/>
      <w:lvlText w:val="16.%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299"/>
    <w:rsid w:val="0052446A"/>
    <w:rsid w:val="005D7850"/>
    <w:rsid w:val="00662518"/>
    <w:rsid w:val="007C3704"/>
    <w:rsid w:val="009C2A71"/>
    <w:rsid w:val="00AD4299"/>
    <w:rsid w:val="00B52133"/>
    <w:rsid w:val="00B53D40"/>
    <w:rsid w:val="00D52735"/>
    <w:rsid w:val="00E91C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299"/>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C3704"/>
    <w:rPr>
      <w:sz w:val="16"/>
      <w:szCs w:val="16"/>
    </w:rPr>
  </w:style>
  <w:style w:type="paragraph" w:styleId="Tekstopmerking">
    <w:name w:val="annotation text"/>
    <w:basedOn w:val="Standaard"/>
    <w:link w:val="TekstopmerkingChar"/>
    <w:uiPriority w:val="99"/>
    <w:semiHidden/>
    <w:unhideWhenUsed/>
    <w:rsid w:val="007C3704"/>
    <w:rPr>
      <w:szCs w:val="20"/>
    </w:rPr>
  </w:style>
  <w:style w:type="character" w:customStyle="1" w:styleId="TekstopmerkingChar">
    <w:name w:val="Tekst opmerking Char"/>
    <w:basedOn w:val="Standaardalinea-lettertype"/>
    <w:link w:val="Tekstopmerking"/>
    <w:uiPriority w:val="99"/>
    <w:semiHidden/>
    <w:rsid w:val="007C370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C3704"/>
    <w:rPr>
      <w:b/>
      <w:bCs/>
    </w:rPr>
  </w:style>
  <w:style w:type="character" w:customStyle="1" w:styleId="OnderwerpvanopmerkingChar">
    <w:name w:val="Onderwerp van opmerking Char"/>
    <w:basedOn w:val="TekstopmerkingChar"/>
    <w:link w:val="Onderwerpvanopmerking"/>
    <w:uiPriority w:val="99"/>
    <w:semiHidden/>
    <w:rsid w:val="007C3704"/>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7C3704"/>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704"/>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D4299"/>
    <w:pPr>
      <w:spacing w:after="0" w:line="240" w:lineRule="auto"/>
    </w:pPr>
    <w:rPr>
      <w:rFonts w:ascii="Arial" w:eastAsia="Times New Roman" w:hAnsi="Arial" w:cs="Times New Roman"/>
      <w:sz w:val="20"/>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7C3704"/>
    <w:rPr>
      <w:sz w:val="16"/>
      <w:szCs w:val="16"/>
    </w:rPr>
  </w:style>
  <w:style w:type="paragraph" w:styleId="Tekstopmerking">
    <w:name w:val="annotation text"/>
    <w:basedOn w:val="Standaard"/>
    <w:link w:val="TekstopmerkingChar"/>
    <w:uiPriority w:val="99"/>
    <w:semiHidden/>
    <w:unhideWhenUsed/>
    <w:rsid w:val="007C3704"/>
    <w:rPr>
      <w:szCs w:val="20"/>
    </w:rPr>
  </w:style>
  <w:style w:type="character" w:customStyle="1" w:styleId="TekstopmerkingChar">
    <w:name w:val="Tekst opmerking Char"/>
    <w:basedOn w:val="Standaardalinea-lettertype"/>
    <w:link w:val="Tekstopmerking"/>
    <w:uiPriority w:val="99"/>
    <w:semiHidden/>
    <w:rsid w:val="007C3704"/>
    <w:rPr>
      <w:rFonts w:ascii="Arial" w:eastAsia="Times New Roman" w:hAnsi="Arial"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7C3704"/>
    <w:rPr>
      <w:b/>
      <w:bCs/>
    </w:rPr>
  </w:style>
  <w:style w:type="character" w:customStyle="1" w:styleId="OnderwerpvanopmerkingChar">
    <w:name w:val="Onderwerp van opmerking Char"/>
    <w:basedOn w:val="TekstopmerkingChar"/>
    <w:link w:val="Onderwerpvanopmerking"/>
    <w:uiPriority w:val="99"/>
    <w:semiHidden/>
    <w:rsid w:val="007C3704"/>
    <w:rPr>
      <w:rFonts w:ascii="Arial" w:eastAsia="Times New Roman" w:hAnsi="Arial" w:cs="Times New Roman"/>
      <w:b/>
      <w:bCs/>
      <w:sz w:val="20"/>
      <w:szCs w:val="20"/>
      <w:lang w:eastAsia="nl-NL"/>
    </w:rPr>
  </w:style>
  <w:style w:type="paragraph" w:styleId="Ballontekst">
    <w:name w:val="Balloon Text"/>
    <w:basedOn w:val="Standaard"/>
    <w:link w:val="BallontekstChar"/>
    <w:uiPriority w:val="99"/>
    <w:semiHidden/>
    <w:unhideWhenUsed/>
    <w:rsid w:val="007C3704"/>
    <w:rPr>
      <w:rFonts w:ascii="Tahoma" w:hAnsi="Tahoma" w:cs="Tahoma"/>
      <w:sz w:val="16"/>
      <w:szCs w:val="16"/>
    </w:rPr>
  </w:style>
  <w:style w:type="character" w:customStyle="1" w:styleId="BallontekstChar">
    <w:name w:val="Ballontekst Char"/>
    <w:basedOn w:val="Standaardalinea-lettertype"/>
    <w:link w:val="Ballontekst"/>
    <w:uiPriority w:val="99"/>
    <w:semiHidden/>
    <w:rsid w:val="007C370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8CB2B2F5B0AC478E5095C17962F402" ma:contentTypeVersion="4" ma:contentTypeDescription="Een nieuw document maken." ma:contentTypeScope="" ma:versionID="0321c8d60a12fbef7ab5b7bb9017dc9b">
  <xsd:schema xmlns:xsd="http://www.w3.org/2001/XMLSchema" xmlns:xs="http://www.w3.org/2001/XMLSchema" xmlns:p="http://schemas.microsoft.com/office/2006/metadata/properties" xmlns:ns2="ffc2cd7a-6d45-49ba-8bad-5a90c07d45b6" targetNamespace="http://schemas.microsoft.com/office/2006/metadata/properties" ma:root="true" ma:fieldsID="29276adce0bac22041e83484b2faed3d" ns2:_="">
    <xsd:import namespace="ffc2cd7a-6d45-49ba-8bad-5a90c07d45b6"/>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2cd7a-6d45-49ba-8bad-5a90c07d45b6"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LastSharedByUser" ma:index="10" nillable="true" ma:displayName="Laatst gedeeld, per gebruiker" ma:description="" ma:internalName="LastSharedByUser" ma:readOnly="true">
      <xsd:simpleType>
        <xsd:restriction base="dms:Note">
          <xsd:maxLength value="255"/>
        </xsd:restriction>
      </xsd:simpleType>
    </xsd:element>
    <xsd:element name="LastSharedByTime" ma:index="11" nillable="true" ma:displayName="Laatst gedeeld, per tijdstip"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90420-EA72-47DE-A14C-0A613D5EF1F7}"/>
</file>

<file path=customXml/itemProps2.xml><?xml version="1.0" encoding="utf-8"?>
<ds:datastoreItem xmlns:ds="http://schemas.openxmlformats.org/officeDocument/2006/customXml" ds:itemID="{2D1C4F80-D6A1-4AE6-95D6-D8AE2E08343A}"/>
</file>

<file path=customXml/itemProps3.xml><?xml version="1.0" encoding="utf-8"?>
<ds:datastoreItem xmlns:ds="http://schemas.openxmlformats.org/officeDocument/2006/customXml" ds:itemID="{B7B599A5-54F3-4489-A4C1-7A1A54B0AD12}"/>
</file>

<file path=docProps/app.xml><?xml version="1.0" encoding="utf-8"?>
<Properties xmlns="http://schemas.openxmlformats.org/officeDocument/2006/extended-properties" xmlns:vt="http://schemas.openxmlformats.org/officeDocument/2006/docPropsVTypes">
  <Template>Normal</Template>
  <TotalTime>16</TotalTime>
  <Pages>2</Pages>
  <Words>905</Words>
  <Characters>4981</Characters>
  <Application>Microsoft Office Word</Application>
  <DocSecurity>0</DocSecurity>
  <Lines>41</Lines>
  <Paragraphs>11</Paragraphs>
  <ScaleCrop>false</ScaleCrop>
  <Company>Microsoft</Company>
  <LinksUpToDate>false</LinksUpToDate>
  <CharactersWithSpaces>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Geneviëve Jubitana</dc:creator>
  <cp:lastModifiedBy>Geneviëve Jubitana</cp:lastModifiedBy>
  <cp:revision>10</cp:revision>
  <dcterms:created xsi:type="dcterms:W3CDTF">2012-07-04T14:27:00Z</dcterms:created>
  <dcterms:modified xsi:type="dcterms:W3CDTF">2012-07-04T14:44:00Z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0x010100318CB2B2F5B0AC478E5095C17962F402</vt:lpwstr>
  </property>
</Properties>
</file>