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C3" w:rsidRDefault="008C37C3" w:rsidP="008C37C3">
      <w:pPr>
        <w:pStyle w:val="Kop1"/>
        <w:rPr>
          <w:rFonts w:ascii="Calibri" w:hAnsi="Calibri" w:cs="Calibri"/>
          <w:sz w:val="28"/>
          <w:szCs w:val="28"/>
        </w:rPr>
      </w:pPr>
      <w:bookmarkStart w:id="0" w:name="_Toc320880343"/>
      <w:bookmarkStart w:id="1" w:name="_Toc320878836"/>
      <w:bookmarkStart w:id="2" w:name="_Toc320878144"/>
      <w:bookmarkStart w:id="3" w:name="_Toc404335465"/>
      <w:r>
        <w:rPr>
          <w:rFonts w:ascii="Calibri" w:hAnsi="Calibri" w:cs="Calibri"/>
          <w:sz w:val="28"/>
          <w:szCs w:val="28"/>
        </w:rPr>
        <w:t>Artikel 1</w:t>
      </w:r>
      <w:bookmarkEnd w:id="0"/>
      <w:bookmarkEnd w:id="1"/>
      <w:bookmarkEnd w:id="2"/>
      <w:r>
        <w:rPr>
          <w:rFonts w:ascii="Calibri" w:hAnsi="Calibri" w:cs="Calibri"/>
          <w:sz w:val="28"/>
          <w:szCs w:val="28"/>
        </w:rPr>
        <w:t>0 Premie en Schadebetaling</w:t>
      </w:r>
      <w:bookmarkEnd w:id="3"/>
    </w:p>
    <w:p w:rsidR="008C37C3" w:rsidRDefault="008C37C3" w:rsidP="008C37C3">
      <w:pPr>
        <w:rPr>
          <w:rFonts w:ascii="Calibri" w:hAnsi="Calibri" w:cs="Calibri"/>
          <w:b/>
        </w:rPr>
      </w:pPr>
      <w:bookmarkStart w:id="4" w:name="_Toc320878837"/>
      <w:r>
        <w:rPr>
          <w:rFonts w:ascii="Calibri" w:hAnsi="Calibri" w:cs="Calibri"/>
          <w:b/>
        </w:rPr>
        <w:t>10.1</w:t>
      </w:r>
      <w:r>
        <w:rPr>
          <w:rFonts w:ascii="Calibri" w:hAnsi="Calibri" w:cs="Calibri"/>
          <w:b/>
        </w:rPr>
        <w:tab/>
        <w:t>Begripsomschrijvingen</w:t>
      </w:r>
      <w:bookmarkEnd w:id="4"/>
    </w:p>
    <w:p w:rsidR="008C37C3" w:rsidRDefault="008C37C3" w:rsidP="008C37C3">
      <w:pPr>
        <w:ind w:left="709" w:hanging="709"/>
        <w:rPr>
          <w:rFonts w:ascii="Calibri" w:hAnsi="Calibri" w:cs="Calibri"/>
        </w:rPr>
      </w:pPr>
      <w:bookmarkStart w:id="5" w:name="_Toc320878838"/>
      <w:bookmarkStart w:id="6" w:name="_Toc320878146"/>
      <w:r>
        <w:rPr>
          <w:rFonts w:ascii="Calibri" w:hAnsi="Calibri" w:cs="Calibri"/>
        </w:rPr>
        <w:t>10.1.1</w:t>
      </w:r>
      <w:bookmarkEnd w:id="5"/>
      <w:bookmarkEnd w:id="6"/>
      <w:r>
        <w:rPr>
          <w:rFonts w:ascii="Calibri" w:hAnsi="Calibri" w:cs="Calibri"/>
        </w:rPr>
        <w:tab/>
        <w:t>Onder "premie" wordt voor de toepassing van dit artikel  mede verstaan de met de verzekering verband houdende overige verschuldigde bedragen.</w:t>
      </w:r>
    </w:p>
    <w:p w:rsidR="008C37C3" w:rsidRDefault="008C37C3" w:rsidP="008C37C3">
      <w:pPr>
        <w:ind w:left="709" w:hanging="709"/>
        <w:rPr>
          <w:rFonts w:ascii="Calibri" w:hAnsi="Calibri" w:cs="Calibri"/>
        </w:rPr>
      </w:pPr>
      <w:bookmarkStart w:id="7" w:name="_Toc320878839"/>
      <w:bookmarkStart w:id="8" w:name="_Toc320878147"/>
      <w:r>
        <w:rPr>
          <w:rFonts w:ascii="Calibri" w:hAnsi="Calibri" w:cs="Calibri"/>
        </w:rPr>
        <w:t>10.1.2</w:t>
      </w:r>
      <w:bookmarkEnd w:id="7"/>
      <w:bookmarkEnd w:id="8"/>
      <w:r>
        <w:rPr>
          <w:rFonts w:ascii="Calibri" w:hAnsi="Calibri" w:cs="Calibri"/>
        </w:rPr>
        <w:tab/>
        <w:t>Onder "verzekerde" wordt voor de toepassing van dit artikel  mede verstaan verzekeringnemer alsmede ieder ander die de premie verschuldigd is.</w:t>
      </w:r>
    </w:p>
    <w:p w:rsidR="008C37C3" w:rsidRDefault="008C37C3" w:rsidP="008C37C3">
      <w:pPr>
        <w:rPr>
          <w:rFonts w:ascii="Calibri" w:hAnsi="Calibri" w:cs="Calibri"/>
          <w:b/>
          <w:u w:val="single"/>
        </w:rPr>
      </w:pPr>
      <w:bookmarkStart w:id="9" w:name="_Toc320878840"/>
      <w:r>
        <w:rPr>
          <w:rFonts w:ascii="Calibri" w:hAnsi="Calibri" w:cs="Calibri"/>
          <w:b/>
        </w:rPr>
        <w:t>10.2</w:t>
      </w:r>
      <w:r>
        <w:rPr>
          <w:rFonts w:ascii="Calibri" w:hAnsi="Calibri" w:cs="Calibri"/>
          <w:b/>
        </w:rPr>
        <w:tab/>
        <w:t>Premie</w:t>
      </w:r>
      <w:bookmarkEnd w:id="9"/>
    </w:p>
    <w:p w:rsidR="008C37C3" w:rsidRDefault="008C37C3" w:rsidP="008C37C3">
      <w:pPr>
        <w:ind w:left="709" w:hanging="709"/>
        <w:rPr>
          <w:rFonts w:ascii="Calibri" w:hAnsi="Calibri" w:cs="Calibri"/>
        </w:rPr>
      </w:pPr>
      <w:bookmarkStart w:id="10" w:name="_Toc320878841"/>
      <w:bookmarkStart w:id="11" w:name="_Toc320878149"/>
      <w:r>
        <w:rPr>
          <w:rFonts w:ascii="Calibri" w:hAnsi="Calibri" w:cs="Calibri"/>
        </w:rPr>
        <w:t>10.2.1</w:t>
      </w:r>
      <w:bookmarkEnd w:id="10"/>
      <w:bookmarkEnd w:id="11"/>
      <w:r>
        <w:rPr>
          <w:rFonts w:ascii="Calibri" w:hAnsi="Calibri" w:cs="Calibri"/>
        </w:rPr>
        <w:tab/>
        <w:t>De makelaar neemt op zich de premie als eigen schuld aan de verzekeraar(s) te zullen voldoen op het moment dat deze krachtens de verzekeringsovereenkomst verschuldigd wordt door de verzekerde. Tenzij uitdrukkelijk anders is of wordt overeengekomen zal betaling van de premie door de makelaar plaatsvinden door creditering van verzekeraar(s) in rekening-courant voor de krachtens de verzeke</w:t>
      </w:r>
      <w:r>
        <w:rPr>
          <w:rFonts w:ascii="Calibri" w:hAnsi="Calibri" w:cs="Calibri"/>
        </w:rPr>
        <w:softHyphen/>
        <w:t>ringsovereenkomst door de verzekerde verschuldigde premie, op welk moment de verzekerde jegens verzekeraar(s) zal zijn gekweten.</w:t>
      </w:r>
    </w:p>
    <w:p w:rsidR="008C37C3" w:rsidRDefault="008C37C3" w:rsidP="008C37C3">
      <w:pPr>
        <w:ind w:left="709" w:hanging="709"/>
        <w:rPr>
          <w:rFonts w:ascii="Calibri" w:hAnsi="Calibri" w:cs="Calibri"/>
        </w:rPr>
      </w:pPr>
      <w:bookmarkStart w:id="12" w:name="_Toc320878842"/>
      <w:bookmarkStart w:id="13" w:name="_Toc320878150"/>
      <w:r>
        <w:rPr>
          <w:rFonts w:ascii="Calibri" w:hAnsi="Calibri" w:cs="Calibri"/>
        </w:rPr>
        <w:t>10.2.2</w:t>
      </w:r>
      <w:bookmarkEnd w:id="12"/>
      <w:bookmarkEnd w:id="13"/>
      <w:r>
        <w:rPr>
          <w:rFonts w:ascii="Calibri" w:hAnsi="Calibri" w:cs="Calibri"/>
        </w:rPr>
        <w:tab/>
        <w:t>Verzekerde is gehouden de premie aan de makelaar te vergoeden. Ingeval de verzekering via een tweede tussenpersoon is gesloten en de verzekerde aan deze tweede tussenpersoon heeft betaald, is de verzekerde door deze betaling tegenover de makelaar eerst gekweten, wanneer deze tweede tussenpersoon aan de makelaar de premie heeft vergoed.</w:t>
      </w:r>
    </w:p>
    <w:p w:rsidR="008C37C3" w:rsidRDefault="008C37C3" w:rsidP="008C37C3">
      <w:pPr>
        <w:ind w:left="709" w:hanging="709"/>
        <w:rPr>
          <w:rFonts w:ascii="Calibri" w:hAnsi="Calibri" w:cs="Calibri"/>
        </w:rPr>
      </w:pPr>
      <w:bookmarkStart w:id="14" w:name="_Toc320878843"/>
      <w:bookmarkStart w:id="15" w:name="_Toc320878151"/>
      <w:r>
        <w:rPr>
          <w:rFonts w:ascii="Calibri" w:hAnsi="Calibri" w:cs="Calibri"/>
        </w:rPr>
        <w:t>10.2.3</w:t>
      </w:r>
      <w:bookmarkEnd w:id="14"/>
      <w:bookmarkEnd w:id="15"/>
      <w:r>
        <w:rPr>
          <w:rFonts w:ascii="Calibri" w:hAnsi="Calibri" w:cs="Calibri"/>
        </w:rPr>
        <w:tab/>
        <w:t>Onverminderd de aansprakelijkheid van verzekerde tot betaling van de verschuldig</w:t>
      </w:r>
      <w:r>
        <w:rPr>
          <w:rFonts w:ascii="Calibri" w:hAnsi="Calibri" w:cs="Calibri"/>
        </w:rPr>
        <w:softHyphen/>
        <w:t>de premie aan de makelaar, zal de verzekering slechts van kracht zijn voor de termijn waarvoor de premie aan de makelaar is betaald alsmede voor de termijn, waarvoor de makelaar verzekerde krediet heeft verleend. Verzekerde zal bij de interpretatie hiervan geacht worden krediet te hebben gehad, tenzij hem dit schrifte</w:t>
      </w:r>
      <w:r>
        <w:rPr>
          <w:rFonts w:ascii="Calibri" w:hAnsi="Calibri" w:cs="Calibri"/>
        </w:rPr>
        <w:softHyphen/>
        <w:t>lijk is opgezegd.</w:t>
      </w:r>
    </w:p>
    <w:p w:rsidR="008C37C3" w:rsidRDefault="008C37C3" w:rsidP="008C37C3">
      <w:pPr>
        <w:ind w:left="709" w:hanging="709"/>
        <w:rPr>
          <w:rFonts w:ascii="Calibri" w:hAnsi="Calibri" w:cs="Calibri"/>
        </w:rPr>
      </w:pPr>
      <w:bookmarkStart w:id="16" w:name="_Toc320878844"/>
      <w:bookmarkStart w:id="17" w:name="_Toc320878152"/>
      <w:r>
        <w:rPr>
          <w:rFonts w:ascii="Calibri" w:hAnsi="Calibri" w:cs="Calibri"/>
        </w:rPr>
        <w:t>10.2.4</w:t>
      </w:r>
      <w:bookmarkEnd w:id="16"/>
      <w:bookmarkEnd w:id="17"/>
      <w:r>
        <w:rPr>
          <w:rFonts w:ascii="Calibri" w:hAnsi="Calibri" w:cs="Calibri"/>
        </w:rPr>
        <w:tab/>
        <w:t>Door het tot stand komen van de verzekering is de makelaar door de verzekerde onherroepelijk gemachtigd verzekeraar(s) tussentijds van hun verplichtingen uit de verzekeringsovereenkomst te ontslaan indien de verzekerde of, ingeval de verzekering via een tweede tussenpersoon is gesloten, deze tweede tussenpersoon nalaat de premie aan de makelaar te voldoen.</w:t>
      </w:r>
    </w:p>
    <w:p w:rsidR="008C37C3" w:rsidRDefault="008C37C3" w:rsidP="008C37C3">
      <w:pPr>
        <w:ind w:left="709"/>
        <w:rPr>
          <w:rFonts w:ascii="Calibri" w:hAnsi="Calibri" w:cs="Calibri"/>
        </w:rPr>
      </w:pPr>
      <w:r>
        <w:rPr>
          <w:rFonts w:ascii="Calibri" w:hAnsi="Calibri" w:cs="Calibri"/>
        </w:rPr>
        <w:t>De makelaar zal verzekeraar(s) niet van hun verplichtingen ontslaan zonder verzekerde vooraf schriftelijk van zijn voornemen in kennis te hebben gesteld.</w:t>
      </w:r>
    </w:p>
    <w:p w:rsidR="008C37C3" w:rsidRDefault="008C37C3">
      <w:pPr>
        <w:ind w:left="0"/>
        <w:jc w:val="left"/>
        <w:rPr>
          <w:rFonts w:ascii="Calibri" w:hAnsi="Calibri" w:cs="Calibri"/>
        </w:rPr>
      </w:pPr>
      <w:bookmarkStart w:id="18" w:name="_Toc320878845"/>
      <w:bookmarkStart w:id="19" w:name="_Toc320878153"/>
      <w:r>
        <w:rPr>
          <w:rFonts w:ascii="Calibri" w:hAnsi="Calibri" w:cs="Calibri"/>
        </w:rPr>
        <w:br w:type="page"/>
      </w:r>
    </w:p>
    <w:p w:rsidR="008C37C3" w:rsidRDefault="008C37C3" w:rsidP="008C37C3">
      <w:pPr>
        <w:ind w:left="709" w:hanging="709"/>
        <w:rPr>
          <w:rFonts w:ascii="Calibri" w:hAnsi="Calibri" w:cs="Calibri"/>
        </w:rPr>
      </w:pPr>
      <w:r>
        <w:rPr>
          <w:rFonts w:ascii="Calibri" w:hAnsi="Calibri" w:cs="Calibri"/>
        </w:rPr>
        <w:lastRenderedPageBreak/>
        <w:t>10.2.5</w:t>
      </w:r>
      <w:bookmarkEnd w:id="18"/>
      <w:bookmarkEnd w:id="19"/>
      <w:r>
        <w:rPr>
          <w:rFonts w:ascii="Calibri" w:hAnsi="Calibri" w:cs="Calibri"/>
        </w:rPr>
        <w:tab/>
        <w:t>In geval de verzekerde in staat van faillissement of surseance van betaling geraakt eindigt het  onder 10.2.3. genoemde krediet onmiddellijk en zijn verzekeraar(s) ontslagen van hun verplichtingen uit hoofde van de verzekeringsovereenkomst als hiervoor onder 10.2.4. genoemd. Deze rechtsgevolgen  treden in door het enkele uitspreken van het faillissement  of de surseance zonder dat voorafgaande ingebrekestelling is vereist. De curator of bewindvoerder is gedurende een maand na de datum van het uitspreken van het faillissement of de surseance, of, indien dit later is, tot 14 dagen nadat de makelaar hem over het vervallen van het krediet, het ontslag van de verzekeraar(s) van hun verplichtingen en van  de bevoegdheid tot eventueel doen herleven van de dekking in kennis heeft gesteld, bevoegd om de dekking te laten herleven, ook ten aanzien van na de datum van faillissement of surseance gevallen schaden, indien en voor zover hij de totaal verschuldigde premie heeft betaald.</w:t>
      </w:r>
    </w:p>
    <w:p w:rsidR="008C37C3" w:rsidRDefault="008C37C3" w:rsidP="008C37C3">
      <w:pPr>
        <w:rPr>
          <w:rFonts w:ascii="Calibri" w:hAnsi="Calibri" w:cs="Calibri"/>
          <w:b/>
        </w:rPr>
      </w:pPr>
      <w:bookmarkStart w:id="20" w:name="_Toc320878846"/>
      <w:r>
        <w:rPr>
          <w:rFonts w:ascii="Calibri" w:hAnsi="Calibri" w:cs="Calibri"/>
          <w:b/>
        </w:rPr>
        <w:t>10.3</w:t>
      </w:r>
      <w:r>
        <w:rPr>
          <w:rFonts w:ascii="Calibri" w:hAnsi="Calibri" w:cs="Calibri"/>
          <w:b/>
        </w:rPr>
        <w:tab/>
        <w:t>Schade-uitkeringen en premierestituties</w:t>
      </w:r>
      <w:bookmarkEnd w:id="20"/>
    </w:p>
    <w:p w:rsidR="008C37C3" w:rsidRDefault="008C37C3" w:rsidP="008C37C3">
      <w:pPr>
        <w:ind w:left="709" w:hanging="709"/>
        <w:rPr>
          <w:rFonts w:ascii="Calibri" w:hAnsi="Calibri" w:cs="Calibri"/>
        </w:rPr>
      </w:pPr>
      <w:bookmarkStart w:id="21" w:name="_Toc320878847"/>
      <w:bookmarkStart w:id="22" w:name="_Toc320878155"/>
      <w:r>
        <w:rPr>
          <w:rFonts w:ascii="Calibri" w:hAnsi="Calibri" w:cs="Calibri"/>
        </w:rPr>
        <w:t>10.3.1</w:t>
      </w:r>
      <w:bookmarkEnd w:id="21"/>
      <w:bookmarkEnd w:id="22"/>
      <w:r>
        <w:rPr>
          <w:rFonts w:ascii="Calibri" w:hAnsi="Calibri" w:cs="Calibri"/>
        </w:rPr>
        <w:tab/>
        <w:t>Tenzij de rechthebbende anders wenst en dit vooraf schriftelijk aan verzekeraar(s) heeft medegedeeld zal de makelaar verzekeraar(s) in rekening-courant voor de verschuldigde schade-uitkeringen en premierestituties debiteren. Verzekeraar(s) zullen daardoor zijn gekweten, zodra de schade-uitkering door de rechthebbende zal zijn ontvangen, respectievelijk met hem zal zijn verrekend in overeenstemming met de wet dan wel een</w:t>
      </w:r>
    </w:p>
    <w:p w:rsidR="008C37C3" w:rsidRDefault="008C37C3" w:rsidP="008C37C3">
      <w:pPr>
        <w:ind w:left="709"/>
        <w:rPr>
          <w:rFonts w:ascii="Calibri" w:hAnsi="Calibri" w:cs="Calibri"/>
        </w:rPr>
      </w:pPr>
      <w:r>
        <w:rPr>
          <w:rFonts w:ascii="Calibri" w:hAnsi="Calibri" w:cs="Calibri"/>
        </w:rPr>
        <w:t>tussen hem en de makelaar bestaande regeling. Indien de verzekeraar(s) de schadepenningen hebben betaald aan de makelaar en deze in gebreke blijft om deze aan de rechthebbende door te betalen, kunnen verzekeraar(s) de schadepenningen van de makelaar terugvorderen indien zij tot hernieuwde betaling worden aangesproken door de rechthebbende. Indien de makelaar de van verzekeraar(s) ontvangen schadepenningen heeft doorbetaald aan de tweede tussenpersoon, maar deze laatste in gebreke blijft voor doorbetaling zorg te dragen, zal de makelaar de schadepenningen van de tweede tussenpersoon kunnen terugvorderen  indien hij hetzij door de rechthebbende wordt aangesproken tot rechtstreekse betaling, hetzij de verzekeraar(s) die schadepenningen van de makelaar terugvorderen, zoals in dit lid voorzien.</w:t>
      </w:r>
    </w:p>
    <w:p w:rsidR="008C37C3" w:rsidRDefault="008C37C3">
      <w:pPr>
        <w:ind w:left="0"/>
        <w:jc w:val="left"/>
        <w:rPr>
          <w:rFonts w:ascii="Calibri" w:hAnsi="Calibri" w:cs="Calibri"/>
        </w:rPr>
      </w:pPr>
      <w:bookmarkStart w:id="23" w:name="_Toc320878848"/>
      <w:bookmarkStart w:id="24" w:name="_Toc320878156"/>
      <w:r>
        <w:rPr>
          <w:rFonts w:ascii="Calibri" w:hAnsi="Calibri" w:cs="Calibri"/>
        </w:rPr>
        <w:br w:type="page"/>
      </w:r>
    </w:p>
    <w:p w:rsidR="008C37C3" w:rsidRDefault="008C37C3" w:rsidP="008C37C3">
      <w:pPr>
        <w:ind w:left="709" w:hanging="709"/>
        <w:rPr>
          <w:rFonts w:ascii="Calibri" w:hAnsi="Calibri" w:cs="Calibri"/>
        </w:rPr>
      </w:pPr>
      <w:bookmarkStart w:id="25" w:name="_GoBack"/>
      <w:bookmarkEnd w:id="25"/>
      <w:r>
        <w:rPr>
          <w:rFonts w:ascii="Calibri" w:hAnsi="Calibri" w:cs="Calibri"/>
        </w:rPr>
        <w:lastRenderedPageBreak/>
        <w:t>10.3.2</w:t>
      </w:r>
      <w:bookmarkEnd w:id="23"/>
      <w:bookmarkEnd w:id="24"/>
      <w:r>
        <w:rPr>
          <w:rStyle w:val="Kop3Char"/>
          <w:rFonts w:ascii="Calibri" w:eastAsiaTheme="minorHAnsi" w:hAnsi="Calibri" w:cs="Calibri"/>
        </w:rPr>
        <w:tab/>
      </w:r>
      <w:r>
        <w:rPr>
          <w:rFonts w:ascii="Calibri" w:hAnsi="Calibri" w:cs="Calibri"/>
        </w:rPr>
        <w:t>De makelaar zal de schade-uitkeringen en premierestituties aan de rechthebbende afdragen. De makelaar is evenwel tot niet meer gehouden dan tot betaling van het saldo dat resteert na verrekening van deze schade-uitkeringen en premierestituties met ten tijde van het ontstaan van de afdracht verplichting al dan niet opeisbare doch reeds vaststaande vorderingen op verzekerde uit hoofde van welke verzekering ook. Deze verrekening zal evenwel niet plaatsvinden bij verzekeringen die aan toonder of order zijn gesteld, tenzij de verzekeringnemer tot de uitkering is gerechtigd en bij verplichte aansprakelijkheidsverzekeringen. Indien op het recht op uitkering een pandrecht rust als bedoeld in artikel 3:229 BW, ofwel een voorrecht als bedoeld in art 3:283 BW, alsook in geval van een onverplichte verzekering tegen aansprakelijkheid, zal de verrekening zich niet verder uitstrekken dan tot hetgeen de verzekeringnemer verschuldigd is ter zake van de verzekering waarop de uitkering wordt gedaan.</w:t>
      </w:r>
    </w:p>
    <w:p w:rsidR="00050AA2" w:rsidRPr="008C37C3" w:rsidRDefault="00050AA2" w:rsidP="00071C24">
      <w:pPr>
        <w:ind w:left="426"/>
      </w:pPr>
    </w:p>
    <w:sectPr w:rsidR="00050AA2" w:rsidRPr="008C37C3" w:rsidSect="00050AA2">
      <w:headerReference w:type="default" r:id="rId6"/>
      <w:footerReference w:type="default" r:id="rId7"/>
      <w:pgSz w:w="11906" w:h="16838"/>
      <w:pgMar w:top="382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7C3" w:rsidRDefault="008C37C3" w:rsidP="00050AA2">
      <w:pPr>
        <w:spacing w:after="0" w:line="240" w:lineRule="auto"/>
      </w:pPr>
      <w:r>
        <w:separator/>
      </w:r>
    </w:p>
  </w:endnote>
  <w:endnote w:type="continuationSeparator" w:id="0">
    <w:p w:rsidR="008C37C3" w:rsidRDefault="008C37C3" w:rsidP="0005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A2" w:rsidRDefault="00050AA2" w:rsidP="00071C24">
    <w:pPr>
      <w:pStyle w:val="Voettekst"/>
      <w:ind w:left="426"/>
      <w:jc w:val="left"/>
      <w:rPr>
        <w:i/>
        <w:iCs/>
        <w:sz w:val="16"/>
        <w:szCs w:val="16"/>
        <w:shd w:val="clear" w:color="auto" w:fill="FFFFFF"/>
      </w:rPr>
    </w:pPr>
    <w:r w:rsidRPr="005900AC">
      <w:rPr>
        <w:b/>
        <w:i/>
        <w:iCs/>
        <w:sz w:val="16"/>
        <w:szCs w:val="16"/>
        <w:shd w:val="clear" w:color="auto" w:fill="FFFFFF"/>
      </w:rPr>
      <w:t>Disclaimer:</w:t>
    </w:r>
    <w:r w:rsidRPr="005900AC">
      <w:rPr>
        <w:i/>
        <w:iCs/>
        <w:sz w:val="16"/>
        <w:szCs w:val="16"/>
        <w:shd w:val="clear" w:color="auto" w:fill="FFFFFF"/>
      </w:rPr>
      <w:t xml:space="preserve"> Alle rechten voorbehouden. Tenzij anders vermeld of bij uitdrukkelijke toestemming berusten alle rechten op de inhoud bij de </w:t>
    </w:r>
    <w:r w:rsidR="007317F2">
      <w:rPr>
        <w:i/>
        <w:iCs/>
        <w:sz w:val="16"/>
        <w:szCs w:val="16"/>
        <w:shd w:val="clear" w:color="auto" w:fill="FFFFFF"/>
      </w:rPr>
      <w:t>Vereniging N</w:t>
    </w:r>
    <w:r w:rsidR="007317F2" w:rsidRPr="005900AC">
      <w:rPr>
        <w:i/>
        <w:iCs/>
        <w:sz w:val="16"/>
        <w:szCs w:val="16"/>
        <w:shd w:val="clear" w:color="auto" w:fill="FFFFFF"/>
      </w:rPr>
      <w:t xml:space="preserve">ederlandse </w:t>
    </w:r>
    <w:r w:rsidRPr="005900AC">
      <w:rPr>
        <w:i/>
        <w:iCs/>
        <w:sz w:val="16"/>
        <w:szCs w:val="16"/>
        <w:shd w:val="clear" w:color="auto" w:fill="FFFFFF"/>
      </w:rPr>
      <w:t>Assurantie Beurs (VNAB).</w:t>
    </w:r>
  </w:p>
  <w:p w:rsidR="00050AA2" w:rsidRPr="00050AA2" w:rsidRDefault="00050AA2" w:rsidP="00050AA2">
    <w:pPr>
      <w:pStyle w:val="Voettekst"/>
      <w:jc w:val="right"/>
      <w:rPr>
        <w:color w:val="00B1DF"/>
      </w:rPr>
    </w:pPr>
    <w:r w:rsidRPr="00F76313">
      <w:rPr>
        <w:color w:val="00B1DF"/>
      </w:rPr>
      <w:t xml:space="preserve"> </w:t>
    </w:r>
    <w:sdt>
      <w:sdtPr>
        <w:rPr>
          <w:color w:val="00B1DF"/>
        </w:rPr>
        <w:id w:val="1766733231"/>
        <w:docPartObj>
          <w:docPartGallery w:val="Page Numbers (Bottom of Page)"/>
          <w:docPartUnique/>
        </w:docPartObj>
      </w:sdtPr>
      <w:sdtEndPr/>
      <w:sdtContent>
        <w:sdt>
          <w:sdtPr>
            <w:rPr>
              <w:color w:val="00B1DF"/>
            </w:rPr>
            <w:id w:val="-961888679"/>
            <w:docPartObj>
              <w:docPartGallery w:val="Page Numbers (Top of Page)"/>
              <w:docPartUnique/>
            </w:docPartObj>
          </w:sdtPr>
          <w:sdtEndPr/>
          <w:sdtContent>
            <w:r w:rsidRPr="001A2695">
              <w:rPr>
                <w:color w:val="00B1DF"/>
              </w:rPr>
              <w:t xml:space="preserve">Pagina </w:t>
            </w:r>
            <w:r w:rsidRPr="001A2695">
              <w:rPr>
                <w:b/>
                <w:bCs/>
                <w:color w:val="00B1DF"/>
                <w:sz w:val="24"/>
                <w:szCs w:val="24"/>
              </w:rPr>
              <w:fldChar w:fldCharType="begin"/>
            </w:r>
            <w:r w:rsidRPr="001A2695">
              <w:rPr>
                <w:b/>
                <w:bCs/>
                <w:color w:val="00B1DF"/>
              </w:rPr>
              <w:instrText>PAGE</w:instrText>
            </w:r>
            <w:r w:rsidRPr="001A2695">
              <w:rPr>
                <w:b/>
                <w:bCs/>
                <w:color w:val="00B1DF"/>
                <w:sz w:val="24"/>
                <w:szCs w:val="24"/>
              </w:rPr>
              <w:fldChar w:fldCharType="separate"/>
            </w:r>
            <w:r w:rsidR="008C37C3">
              <w:rPr>
                <w:b/>
                <w:bCs/>
                <w:noProof/>
                <w:color w:val="00B1DF"/>
              </w:rPr>
              <w:t>3</w:t>
            </w:r>
            <w:r w:rsidRPr="001A2695">
              <w:rPr>
                <w:b/>
                <w:bCs/>
                <w:color w:val="00B1DF"/>
                <w:sz w:val="24"/>
                <w:szCs w:val="24"/>
              </w:rPr>
              <w:fldChar w:fldCharType="end"/>
            </w:r>
            <w:r w:rsidRPr="001A2695">
              <w:rPr>
                <w:color w:val="00B1DF"/>
              </w:rPr>
              <w:t xml:space="preserve"> van </w:t>
            </w:r>
            <w:r w:rsidRPr="001A2695">
              <w:rPr>
                <w:b/>
                <w:bCs/>
                <w:color w:val="00B1DF"/>
                <w:sz w:val="24"/>
                <w:szCs w:val="24"/>
              </w:rPr>
              <w:fldChar w:fldCharType="begin"/>
            </w:r>
            <w:r w:rsidRPr="001A2695">
              <w:rPr>
                <w:b/>
                <w:bCs/>
                <w:color w:val="00B1DF"/>
              </w:rPr>
              <w:instrText>NUMPAGES</w:instrText>
            </w:r>
            <w:r w:rsidRPr="001A2695">
              <w:rPr>
                <w:b/>
                <w:bCs/>
                <w:color w:val="00B1DF"/>
                <w:sz w:val="24"/>
                <w:szCs w:val="24"/>
              </w:rPr>
              <w:fldChar w:fldCharType="separate"/>
            </w:r>
            <w:r w:rsidR="008C37C3">
              <w:rPr>
                <w:b/>
                <w:bCs/>
                <w:noProof/>
                <w:color w:val="00B1DF"/>
              </w:rPr>
              <w:t>3</w:t>
            </w:r>
            <w:r w:rsidRPr="001A2695">
              <w:rPr>
                <w:b/>
                <w:bCs/>
                <w:color w:val="00B1DF"/>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7C3" w:rsidRDefault="008C37C3" w:rsidP="00050AA2">
      <w:pPr>
        <w:spacing w:after="0" w:line="240" w:lineRule="auto"/>
      </w:pPr>
      <w:r>
        <w:separator/>
      </w:r>
    </w:p>
  </w:footnote>
  <w:footnote w:type="continuationSeparator" w:id="0">
    <w:p w:rsidR="008C37C3" w:rsidRDefault="008C37C3" w:rsidP="00050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A2" w:rsidRDefault="00050AA2" w:rsidP="00050AA2">
    <w:pPr>
      <w:pStyle w:val="Koptekst"/>
      <w:tabs>
        <w:tab w:val="left" w:pos="3932"/>
      </w:tabs>
      <w:jc w:val="right"/>
      <w:rPr>
        <w:color w:val="000000"/>
      </w:rPr>
    </w:pPr>
    <w:r>
      <w:rPr>
        <w:noProof/>
        <w:color w:val="000000"/>
        <w:lang w:eastAsia="nl-NL"/>
      </w:rPr>
      <w:drawing>
        <wp:anchor distT="0" distB="0" distL="114300" distR="114300" simplePos="0" relativeHeight="251659264" behindDoc="1" locked="0" layoutInCell="1" allowOverlap="1" wp14:anchorId="648EE262" wp14:editId="588FAB88">
          <wp:simplePos x="0" y="0"/>
          <wp:positionH relativeFrom="column">
            <wp:posOffset>-447675</wp:posOffset>
          </wp:positionH>
          <wp:positionV relativeFrom="paragraph">
            <wp:posOffset>-184150</wp:posOffset>
          </wp:positionV>
          <wp:extent cx="884555" cy="2266315"/>
          <wp:effectExtent l="0" t="0" r="0" b="635"/>
          <wp:wrapNone/>
          <wp:docPr id="21" name="Afbeelding 21" descr="LOGO_VNAB_PMS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descr="LOGO_VNAB_PMS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2266315"/>
                  </a:xfrm>
                  <a:prstGeom prst="rect">
                    <a:avLst/>
                  </a:prstGeom>
                  <a:noFill/>
                </pic:spPr>
              </pic:pic>
            </a:graphicData>
          </a:graphic>
          <wp14:sizeRelH relativeFrom="page">
            <wp14:pctWidth>0</wp14:pctWidth>
          </wp14:sizeRelH>
          <wp14:sizeRelV relativeFrom="page">
            <wp14:pctHeight>0</wp14:pctHeight>
          </wp14:sizeRelV>
        </wp:anchor>
      </w:drawing>
    </w:r>
  </w:p>
  <w:p w:rsidR="00050AA2" w:rsidRDefault="00050AA2" w:rsidP="00050AA2">
    <w:pPr>
      <w:pStyle w:val="Koptekst"/>
      <w:tabs>
        <w:tab w:val="left" w:pos="3932"/>
      </w:tabs>
      <w:jc w:val="right"/>
    </w:pPr>
    <w:r>
      <w:tab/>
    </w:r>
    <w:r>
      <w:tab/>
    </w:r>
  </w:p>
  <w:p w:rsidR="00050AA2" w:rsidRDefault="00050AA2" w:rsidP="00050AA2">
    <w:pPr>
      <w:pStyle w:val="Koptekst"/>
      <w:tabs>
        <w:tab w:val="left" w:pos="3932"/>
      </w:tabs>
      <w:jc w:val="right"/>
      <w:rPr>
        <w:color w:val="00448C"/>
      </w:rPr>
    </w:pPr>
    <w:r>
      <w:rPr>
        <w:color w:val="00448C"/>
      </w:rPr>
      <w:t>VERZEKERINGSBEURS VOOR ONDERNEMINGEN</w:t>
    </w:r>
  </w:p>
  <w:p w:rsidR="00050AA2" w:rsidRDefault="00050AA2" w:rsidP="00050AA2">
    <w:pPr>
      <w:pStyle w:val="Koptekst"/>
      <w:tabs>
        <w:tab w:val="left" w:pos="3932"/>
      </w:tabs>
      <w:jc w:val="right"/>
      <w:rPr>
        <w:color w:val="00448C"/>
      </w:rPr>
    </w:pPr>
  </w:p>
  <w:p w:rsidR="00050AA2" w:rsidRDefault="00050AA2" w:rsidP="00050AA2">
    <w:pPr>
      <w:pStyle w:val="Koptekst"/>
      <w:tabs>
        <w:tab w:val="left" w:pos="3932"/>
      </w:tabs>
      <w:jc w:val="right"/>
      <w:rPr>
        <w:color w:val="00448C"/>
      </w:rPr>
    </w:pPr>
  </w:p>
  <w:p w:rsidR="00050AA2" w:rsidRDefault="00F45665" w:rsidP="00050AA2">
    <w:pPr>
      <w:pStyle w:val="Koptekst"/>
      <w:tabs>
        <w:tab w:val="left" w:pos="851"/>
        <w:tab w:val="left" w:pos="3932"/>
      </w:tabs>
      <w:rPr>
        <w:color w:val="00448C"/>
      </w:rPr>
    </w:pPr>
    <w:r>
      <w:rPr>
        <w:color w:val="00448C"/>
      </w:rPr>
      <w:tab/>
    </w:r>
    <w:r w:rsidR="00050AA2">
      <w:rPr>
        <w:color w:val="00448C"/>
      </w:rPr>
      <w:tab/>
    </w:r>
  </w:p>
  <w:p w:rsidR="00050AA2" w:rsidRPr="00050AA2" w:rsidRDefault="00050AA2" w:rsidP="00050AA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C3"/>
    <w:rsid w:val="000002ED"/>
    <w:rsid w:val="000073C3"/>
    <w:rsid w:val="00012074"/>
    <w:rsid w:val="00016C22"/>
    <w:rsid w:val="00016CEA"/>
    <w:rsid w:val="00017394"/>
    <w:rsid w:val="000204CC"/>
    <w:rsid w:val="00021970"/>
    <w:rsid w:val="00021B7A"/>
    <w:rsid w:val="00025676"/>
    <w:rsid w:val="000305D4"/>
    <w:rsid w:val="000313E4"/>
    <w:rsid w:val="000364B3"/>
    <w:rsid w:val="00037D21"/>
    <w:rsid w:val="000441A4"/>
    <w:rsid w:val="000450F1"/>
    <w:rsid w:val="00050AA2"/>
    <w:rsid w:val="00056080"/>
    <w:rsid w:val="00071C24"/>
    <w:rsid w:val="00071C61"/>
    <w:rsid w:val="00072B8D"/>
    <w:rsid w:val="0008020F"/>
    <w:rsid w:val="00081A32"/>
    <w:rsid w:val="000830CF"/>
    <w:rsid w:val="000A26C0"/>
    <w:rsid w:val="000A3C0D"/>
    <w:rsid w:val="000A4D27"/>
    <w:rsid w:val="000A6F17"/>
    <w:rsid w:val="000B3DE9"/>
    <w:rsid w:val="000C3D9A"/>
    <w:rsid w:val="000D2E46"/>
    <w:rsid w:val="000D4EE6"/>
    <w:rsid w:val="000D6AC9"/>
    <w:rsid w:val="000F1D9A"/>
    <w:rsid w:val="000F2C93"/>
    <w:rsid w:val="000F7D41"/>
    <w:rsid w:val="00101C8F"/>
    <w:rsid w:val="00104A9B"/>
    <w:rsid w:val="00106DB6"/>
    <w:rsid w:val="0011641C"/>
    <w:rsid w:val="00116F4E"/>
    <w:rsid w:val="00124D80"/>
    <w:rsid w:val="0012571F"/>
    <w:rsid w:val="001262D8"/>
    <w:rsid w:val="0013741E"/>
    <w:rsid w:val="00137828"/>
    <w:rsid w:val="00144BBB"/>
    <w:rsid w:val="00160AEF"/>
    <w:rsid w:val="00161552"/>
    <w:rsid w:val="00167A86"/>
    <w:rsid w:val="00171398"/>
    <w:rsid w:val="001729D6"/>
    <w:rsid w:val="001817E5"/>
    <w:rsid w:val="001A4433"/>
    <w:rsid w:val="001A6B5D"/>
    <w:rsid w:val="001B5789"/>
    <w:rsid w:val="001C763E"/>
    <w:rsid w:val="001D08FC"/>
    <w:rsid w:val="001D0E23"/>
    <w:rsid w:val="001D56E1"/>
    <w:rsid w:val="001E2052"/>
    <w:rsid w:val="001F0920"/>
    <w:rsid w:val="002005CB"/>
    <w:rsid w:val="002017D0"/>
    <w:rsid w:val="00203F4A"/>
    <w:rsid w:val="00204FD2"/>
    <w:rsid w:val="00210DF3"/>
    <w:rsid w:val="00213D0A"/>
    <w:rsid w:val="00216E79"/>
    <w:rsid w:val="00225288"/>
    <w:rsid w:val="0023759E"/>
    <w:rsid w:val="0024352E"/>
    <w:rsid w:val="00244984"/>
    <w:rsid w:val="00250FC2"/>
    <w:rsid w:val="002511BC"/>
    <w:rsid w:val="00255CAD"/>
    <w:rsid w:val="00264899"/>
    <w:rsid w:val="00272E65"/>
    <w:rsid w:val="002738E3"/>
    <w:rsid w:val="00276145"/>
    <w:rsid w:val="00276964"/>
    <w:rsid w:val="00283982"/>
    <w:rsid w:val="00284116"/>
    <w:rsid w:val="00293BA0"/>
    <w:rsid w:val="00294771"/>
    <w:rsid w:val="00297EEA"/>
    <w:rsid w:val="002A2DBD"/>
    <w:rsid w:val="002C3C3D"/>
    <w:rsid w:val="002C4839"/>
    <w:rsid w:val="002C4EB8"/>
    <w:rsid w:val="002D0F89"/>
    <w:rsid w:val="002D4757"/>
    <w:rsid w:val="002D7550"/>
    <w:rsid w:val="002E02FE"/>
    <w:rsid w:val="002F0D8A"/>
    <w:rsid w:val="002F3CF4"/>
    <w:rsid w:val="00305CC6"/>
    <w:rsid w:val="00316446"/>
    <w:rsid w:val="003204B1"/>
    <w:rsid w:val="00321031"/>
    <w:rsid w:val="00323741"/>
    <w:rsid w:val="00327FDC"/>
    <w:rsid w:val="0033303D"/>
    <w:rsid w:val="00336281"/>
    <w:rsid w:val="003373F9"/>
    <w:rsid w:val="00341320"/>
    <w:rsid w:val="00341B87"/>
    <w:rsid w:val="0036252B"/>
    <w:rsid w:val="0036337D"/>
    <w:rsid w:val="003744A7"/>
    <w:rsid w:val="00383E0E"/>
    <w:rsid w:val="00393254"/>
    <w:rsid w:val="0039344B"/>
    <w:rsid w:val="003A3ED8"/>
    <w:rsid w:val="003A6AE4"/>
    <w:rsid w:val="003B3416"/>
    <w:rsid w:val="003B5546"/>
    <w:rsid w:val="003C2DC3"/>
    <w:rsid w:val="003C398F"/>
    <w:rsid w:val="003C41B3"/>
    <w:rsid w:val="003C4468"/>
    <w:rsid w:val="003D0F79"/>
    <w:rsid w:val="003D646A"/>
    <w:rsid w:val="003D70F0"/>
    <w:rsid w:val="003E0997"/>
    <w:rsid w:val="003E24A8"/>
    <w:rsid w:val="003E42BA"/>
    <w:rsid w:val="003F476E"/>
    <w:rsid w:val="003F4B05"/>
    <w:rsid w:val="003F6374"/>
    <w:rsid w:val="003F75C3"/>
    <w:rsid w:val="00400D43"/>
    <w:rsid w:val="00401038"/>
    <w:rsid w:val="004115EA"/>
    <w:rsid w:val="004119DB"/>
    <w:rsid w:val="004204CA"/>
    <w:rsid w:val="004222B6"/>
    <w:rsid w:val="00422C36"/>
    <w:rsid w:val="0043048F"/>
    <w:rsid w:val="0043164D"/>
    <w:rsid w:val="00436E71"/>
    <w:rsid w:val="00447830"/>
    <w:rsid w:val="0045210C"/>
    <w:rsid w:val="004607A5"/>
    <w:rsid w:val="00464BDD"/>
    <w:rsid w:val="00470F8B"/>
    <w:rsid w:val="0047106E"/>
    <w:rsid w:val="00471F37"/>
    <w:rsid w:val="004758D5"/>
    <w:rsid w:val="00475CBD"/>
    <w:rsid w:val="0047651B"/>
    <w:rsid w:val="00477607"/>
    <w:rsid w:val="00484477"/>
    <w:rsid w:val="0049284C"/>
    <w:rsid w:val="004936A6"/>
    <w:rsid w:val="004A6BDF"/>
    <w:rsid w:val="004B51F1"/>
    <w:rsid w:val="004B7A73"/>
    <w:rsid w:val="004C1A52"/>
    <w:rsid w:val="004C54E4"/>
    <w:rsid w:val="004D10D4"/>
    <w:rsid w:val="004D154A"/>
    <w:rsid w:val="004E48A1"/>
    <w:rsid w:val="004E51EC"/>
    <w:rsid w:val="004F221A"/>
    <w:rsid w:val="004F7BCC"/>
    <w:rsid w:val="00500BEF"/>
    <w:rsid w:val="005100C7"/>
    <w:rsid w:val="005129E1"/>
    <w:rsid w:val="005154E1"/>
    <w:rsid w:val="00515E2F"/>
    <w:rsid w:val="005204E1"/>
    <w:rsid w:val="00523549"/>
    <w:rsid w:val="00524CFF"/>
    <w:rsid w:val="0054498E"/>
    <w:rsid w:val="00553BDC"/>
    <w:rsid w:val="00561CAB"/>
    <w:rsid w:val="00570D5B"/>
    <w:rsid w:val="005732CD"/>
    <w:rsid w:val="005745E0"/>
    <w:rsid w:val="005762CE"/>
    <w:rsid w:val="00577722"/>
    <w:rsid w:val="00580CDC"/>
    <w:rsid w:val="00581EE2"/>
    <w:rsid w:val="00584190"/>
    <w:rsid w:val="005849A2"/>
    <w:rsid w:val="00585C70"/>
    <w:rsid w:val="00585D56"/>
    <w:rsid w:val="005971DB"/>
    <w:rsid w:val="005A0254"/>
    <w:rsid w:val="005A1707"/>
    <w:rsid w:val="005A3060"/>
    <w:rsid w:val="005B389D"/>
    <w:rsid w:val="005B45FD"/>
    <w:rsid w:val="005B5CF8"/>
    <w:rsid w:val="005C34A4"/>
    <w:rsid w:val="005D4426"/>
    <w:rsid w:val="005E0E35"/>
    <w:rsid w:val="005E2FDE"/>
    <w:rsid w:val="005E5F2D"/>
    <w:rsid w:val="005E6596"/>
    <w:rsid w:val="005E6CB0"/>
    <w:rsid w:val="005F27CB"/>
    <w:rsid w:val="005F5A04"/>
    <w:rsid w:val="0060025E"/>
    <w:rsid w:val="00600F47"/>
    <w:rsid w:val="0061531C"/>
    <w:rsid w:val="0062308C"/>
    <w:rsid w:val="00623236"/>
    <w:rsid w:val="00634159"/>
    <w:rsid w:val="00635EFD"/>
    <w:rsid w:val="006379F3"/>
    <w:rsid w:val="006406C4"/>
    <w:rsid w:val="00642421"/>
    <w:rsid w:val="00642501"/>
    <w:rsid w:val="00643DD6"/>
    <w:rsid w:val="006461E0"/>
    <w:rsid w:val="00646E91"/>
    <w:rsid w:val="00651178"/>
    <w:rsid w:val="006519AE"/>
    <w:rsid w:val="006566E8"/>
    <w:rsid w:val="00660AD6"/>
    <w:rsid w:val="006715BD"/>
    <w:rsid w:val="006716E4"/>
    <w:rsid w:val="00671D23"/>
    <w:rsid w:val="00675317"/>
    <w:rsid w:val="00684FE1"/>
    <w:rsid w:val="0069069A"/>
    <w:rsid w:val="00696EFC"/>
    <w:rsid w:val="006C1A39"/>
    <w:rsid w:val="006C25A7"/>
    <w:rsid w:val="006D394B"/>
    <w:rsid w:val="006D4CD2"/>
    <w:rsid w:val="006E01F9"/>
    <w:rsid w:val="006E1D0E"/>
    <w:rsid w:val="006E3D36"/>
    <w:rsid w:val="006E3F24"/>
    <w:rsid w:val="0070191B"/>
    <w:rsid w:val="00705D53"/>
    <w:rsid w:val="00717CC6"/>
    <w:rsid w:val="007317F2"/>
    <w:rsid w:val="00731D78"/>
    <w:rsid w:val="007368AD"/>
    <w:rsid w:val="00740FE6"/>
    <w:rsid w:val="00741F21"/>
    <w:rsid w:val="00747414"/>
    <w:rsid w:val="00760F2F"/>
    <w:rsid w:val="00761DF3"/>
    <w:rsid w:val="007650C9"/>
    <w:rsid w:val="00766EDB"/>
    <w:rsid w:val="00767EC6"/>
    <w:rsid w:val="00771729"/>
    <w:rsid w:val="00771777"/>
    <w:rsid w:val="007726BD"/>
    <w:rsid w:val="007821DF"/>
    <w:rsid w:val="007A0953"/>
    <w:rsid w:val="007A138D"/>
    <w:rsid w:val="007A5CA0"/>
    <w:rsid w:val="007D276E"/>
    <w:rsid w:val="007D4010"/>
    <w:rsid w:val="007E537F"/>
    <w:rsid w:val="00802BA7"/>
    <w:rsid w:val="00804CB4"/>
    <w:rsid w:val="00804CD8"/>
    <w:rsid w:val="008127BC"/>
    <w:rsid w:val="00821D65"/>
    <w:rsid w:val="00822509"/>
    <w:rsid w:val="008241E0"/>
    <w:rsid w:val="00825DB3"/>
    <w:rsid w:val="0083501D"/>
    <w:rsid w:val="00841689"/>
    <w:rsid w:val="008428E9"/>
    <w:rsid w:val="00844AF8"/>
    <w:rsid w:val="00850490"/>
    <w:rsid w:val="00855C32"/>
    <w:rsid w:val="00870E27"/>
    <w:rsid w:val="00874DC7"/>
    <w:rsid w:val="008813D5"/>
    <w:rsid w:val="00886241"/>
    <w:rsid w:val="008A2AFF"/>
    <w:rsid w:val="008A490A"/>
    <w:rsid w:val="008A6BA4"/>
    <w:rsid w:val="008B534E"/>
    <w:rsid w:val="008C109B"/>
    <w:rsid w:val="008C37C3"/>
    <w:rsid w:val="008D10AC"/>
    <w:rsid w:val="008D37EB"/>
    <w:rsid w:val="008D406E"/>
    <w:rsid w:val="008D5A6B"/>
    <w:rsid w:val="008E0E15"/>
    <w:rsid w:val="008E6E05"/>
    <w:rsid w:val="008F3A6F"/>
    <w:rsid w:val="008F6222"/>
    <w:rsid w:val="0090074A"/>
    <w:rsid w:val="009023D8"/>
    <w:rsid w:val="009031D3"/>
    <w:rsid w:val="0090354F"/>
    <w:rsid w:val="00906673"/>
    <w:rsid w:val="00910473"/>
    <w:rsid w:val="009120C9"/>
    <w:rsid w:val="0092099B"/>
    <w:rsid w:val="00932FEC"/>
    <w:rsid w:val="009342DA"/>
    <w:rsid w:val="009449E0"/>
    <w:rsid w:val="009579C6"/>
    <w:rsid w:val="00961059"/>
    <w:rsid w:val="009619D7"/>
    <w:rsid w:val="00963D98"/>
    <w:rsid w:val="009658B7"/>
    <w:rsid w:val="00967EAD"/>
    <w:rsid w:val="009752A1"/>
    <w:rsid w:val="00976505"/>
    <w:rsid w:val="00982845"/>
    <w:rsid w:val="009835CD"/>
    <w:rsid w:val="009B6DB2"/>
    <w:rsid w:val="009C0059"/>
    <w:rsid w:val="009C3192"/>
    <w:rsid w:val="009C4758"/>
    <w:rsid w:val="009D078E"/>
    <w:rsid w:val="009D2462"/>
    <w:rsid w:val="009D32E2"/>
    <w:rsid w:val="009D4AC4"/>
    <w:rsid w:val="009D6D42"/>
    <w:rsid w:val="009D6EEE"/>
    <w:rsid w:val="009D7FF9"/>
    <w:rsid w:val="009E1717"/>
    <w:rsid w:val="009E51D0"/>
    <w:rsid w:val="009F05F6"/>
    <w:rsid w:val="009F12A5"/>
    <w:rsid w:val="009F56F1"/>
    <w:rsid w:val="00A014D1"/>
    <w:rsid w:val="00A04AA3"/>
    <w:rsid w:val="00A05983"/>
    <w:rsid w:val="00A24A35"/>
    <w:rsid w:val="00A37EDF"/>
    <w:rsid w:val="00A5393F"/>
    <w:rsid w:val="00A56D58"/>
    <w:rsid w:val="00A71B1C"/>
    <w:rsid w:val="00A74037"/>
    <w:rsid w:val="00A75D5E"/>
    <w:rsid w:val="00A818AF"/>
    <w:rsid w:val="00A878EC"/>
    <w:rsid w:val="00AA1E8F"/>
    <w:rsid w:val="00AA67D6"/>
    <w:rsid w:val="00AB4563"/>
    <w:rsid w:val="00AB7390"/>
    <w:rsid w:val="00AC0CAA"/>
    <w:rsid w:val="00AC3424"/>
    <w:rsid w:val="00AD30B8"/>
    <w:rsid w:val="00AD4C5F"/>
    <w:rsid w:val="00AD721A"/>
    <w:rsid w:val="00B00B97"/>
    <w:rsid w:val="00B104B7"/>
    <w:rsid w:val="00B1595E"/>
    <w:rsid w:val="00B15D75"/>
    <w:rsid w:val="00B2569B"/>
    <w:rsid w:val="00B33FB3"/>
    <w:rsid w:val="00B407A2"/>
    <w:rsid w:val="00B5146A"/>
    <w:rsid w:val="00B56080"/>
    <w:rsid w:val="00B703A2"/>
    <w:rsid w:val="00B708DD"/>
    <w:rsid w:val="00B8269D"/>
    <w:rsid w:val="00B8291A"/>
    <w:rsid w:val="00B83DD7"/>
    <w:rsid w:val="00B85EFC"/>
    <w:rsid w:val="00B85FD8"/>
    <w:rsid w:val="00B86C84"/>
    <w:rsid w:val="00B91CB1"/>
    <w:rsid w:val="00B97817"/>
    <w:rsid w:val="00BA67AE"/>
    <w:rsid w:val="00BB0FF9"/>
    <w:rsid w:val="00BB6C0F"/>
    <w:rsid w:val="00BB7CFA"/>
    <w:rsid w:val="00BC781E"/>
    <w:rsid w:val="00BC7F39"/>
    <w:rsid w:val="00BD0FD5"/>
    <w:rsid w:val="00BD2F40"/>
    <w:rsid w:val="00BD5007"/>
    <w:rsid w:val="00BD6F2D"/>
    <w:rsid w:val="00BE6FF4"/>
    <w:rsid w:val="00BF0552"/>
    <w:rsid w:val="00BF1E66"/>
    <w:rsid w:val="00BF3333"/>
    <w:rsid w:val="00BF51E6"/>
    <w:rsid w:val="00C00F65"/>
    <w:rsid w:val="00C05C08"/>
    <w:rsid w:val="00C13E8E"/>
    <w:rsid w:val="00C21C3A"/>
    <w:rsid w:val="00C258AB"/>
    <w:rsid w:val="00C26998"/>
    <w:rsid w:val="00C278D5"/>
    <w:rsid w:val="00C32F70"/>
    <w:rsid w:val="00C36F6E"/>
    <w:rsid w:val="00C432B0"/>
    <w:rsid w:val="00C44A61"/>
    <w:rsid w:val="00C4503B"/>
    <w:rsid w:val="00C502C4"/>
    <w:rsid w:val="00C54165"/>
    <w:rsid w:val="00C55D21"/>
    <w:rsid w:val="00C56DB0"/>
    <w:rsid w:val="00C604B5"/>
    <w:rsid w:val="00C72425"/>
    <w:rsid w:val="00C737E7"/>
    <w:rsid w:val="00C81546"/>
    <w:rsid w:val="00C87E0F"/>
    <w:rsid w:val="00CA05A8"/>
    <w:rsid w:val="00CA24F9"/>
    <w:rsid w:val="00CA2AA3"/>
    <w:rsid w:val="00CA53BA"/>
    <w:rsid w:val="00CA551B"/>
    <w:rsid w:val="00CA5B27"/>
    <w:rsid w:val="00CB0239"/>
    <w:rsid w:val="00CC05B2"/>
    <w:rsid w:val="00CC418E"/>
    <w:rsid w:val="00CC7736"/>
    <w:rsid w:val="00CD014E"/>
    <w:rsid w:val="00CD4072"/>
    <w:rsid w:val="00CD5E60"/>
    <w:rsid w:val="00CE465C"/>
    <w:rsid w:val="00CE4FAE"/>
    <w:rsid w:val="00CE78EA"/>
    <w:rsid w:val="00CF16D5"/>
    <w:rsid w:val="00CF36A5"/>
    <w:rsid w:val="00D002B1"/>
    <w:rsid w:val="00D07F92"/>
    <w:rsid w:val="00D128F3"/>
    <w:rsid w:val="00D15EC7"/>
    <w:rsid w:val="00D179AB"/>
    <w:rsid w:val="00D20256"/>
    <w:rsid w:val="00D21FDB"/>
    <w:rsid w:val="00D262FB"/>
    <w:rsid w:val="00D30E09"/>
    <w:rsid w:val="00D37A99"/>
    <w:rsid w:val="00D40014"/>
    <w:rsid w:val="00D40817"/>
    <w:rsid w:val="00D42867"/>
    <w:rsid w:val="00D46902"/>
    <w:rsid w:val="00D4709D"/>
    <w:rsid w:val="00D47C4F"/>
    <w:rsid w:val="00D5034B"/>
    <w:rsid w:val="00D51136"/>
    <w:rsid w:val="00D53E8E"/>
    <w:rsid w:val="00D60773"/>
    <w:rsid w:val="00D709AF"/>
    <w:rsid w:val="00D803C2"/>
    <w:rsid w:val="00D814F9"/>
    <w:rsid w:val="00D825B1"/>
    <w:rsid w:val="00D8440A"/>
    <w:rsid w:val="00D847BF"/>
    <w:rsid w:val="00D962EC"/>
    <w:rsid w:val="00DA3178"/>
    <w:rsid w:val="00DA696D"/>
    <w:rsid w:val="00DB0E22"/>
    <w:rsid w:val="00DB5BDA"/>
    <w:rsid w:val="00DB7A15"/>
    <w:rsid w:val="00DD0CAE"/>
    <w:rsid w:val="00DD39CA"/>
    <w:rsid w:val="00DD7879"/>
    <w:rsid w:val="00DE1CC0"/>
    <w:rsid w:val="00DE2261"/>
    <w:rsid w:val="00DE79FB"/>
    <w:rsid w:val="00DF16E8"/>
    <w:rsid w:val="00DF26AC"/>
    <w:rsid w:val="00DF30E8"/>
    <w:rsid w:val="00DF41A9"/>
    <w:rsid w:val="00E00208"/>
    <w:rsid w:val="00E01E99"/>
    <w:rsid w:val="00E161D0"/>
    <w:rsid w:val="00E206BE"/>
    <w:rsid w:val="00E31017"/>
    <w:rsid w:val="00E36BA8"/>
    <w:rsid w:val="00E40D76"/>
    <w:rsid w:val="00E709B2"/>
    <w:rsid w:val="00E81736"/>
    <w:rsid w:val="00E837CE"/>
    <w:rsid w:val="00E90500"/>
    <w:rsid w:val="00E9454E"/>
    <w:rsid w:val="00E96876"/>
    <w:rsid w:val="00EA4934"/>
    <w:rsid w:val="00EB04D1"/>
    <w:rsid w:val="00EB06D2"/>
    <w:rsid w:val="00EB20CB"/>
    <w:rsid w:val="00EE1C1A"/>
    <w:rsid w:val="00EE40A8"/>
    <w:rsid w:val="00EE6449"/>
    <w:rsid w:val="00EF1D1C"/>
    <w:rsid w:val="00EF7F43"/>
    <w:rsid w:val="00F03768"/>
    <w:rsid w:val="00F10740"/>
    <w:rsid w:val="00F1477E"/>
    <w:rsid w:val="00F156E9"/>
    <w:rsid w:val="00F219A1"/>
    <w:rsid w:val="00F25A54"/>
    <w:rsid w:val="00F33F8D"/>
    <w:rsid w:val="00F34536"/>
    <w:rsid w:val="00F35A0A"/>
    <w:rsid w:val="00F43521"/>
    <w:rsid w:val="00F45665"/>
    <w:rsid w:val="00F46774"/>
    <w:rsid w:val="00F46F32"/>
    <w:rsid w:val="00F51D01"/>
    <w:rsid w:val="00F55502"/>
    <w:rsid w:val="00F62AF2"/>
    <w:rsid w:val="00F65301"/>
    <w:rsid w:val="00F76564"/>
    <w:rsid w:val="00F772F9"/>
    <w:rsid w:val="00F81424"/>
    <w:rsid w:val="00F8220F"/>
    <w:rsid w:val="00F869CB"/>
    <w:rsid w:val="00F86E9A"/>
    <w:rsid w:val="00F87C71"/>
    <w:rsid w:val="00F93B18"/>
    <w:rsid w:val="00FA1119"/>
    <w:rsid w:val="00FA1465"/>
    <w:rsid w:val="00FA1E94"/>
    <w:rsid w:val="00FA5527"/>
    <w:rsid w:val="00FA7358"/>
    <w:rsid w:val="00FB1590"/>
    <w:rsid w:val="00FB2544"/>
    <w:rsid w:val="00FB64A1"/>
    <w:rsid w:val="00FB6687"/>
    <w:rsid w:val="00FC1BE3"/>
    <w:rsid w:val="00FC4C26"/>
    <w:rsid w:val="00FC7C9B"/>
    <w:rsid w:val="00FD0266"/>
    <w:rsid w:val="00FD1DC0"/>
    <w:rsid w:val="00FD2133"/>
    <w:rsid w:val="00FE6207"/>
    <w:rsid w:val="00FE7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3D8AB-70BE-4EEF-B461-22A749B1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Hoofdtekst"/>
    <w:rsid w:val="00050AA2"/>
    <w:pPr>
      <w:ind w:left="425"/>
      <w:jc w:val="both"/>
    </w:pPr>
    <w:rPr>
      <w:color w:val="000000" w:themeColor="text1"/>
    </w:rPr>
  </w:style>
  <w:style w:type="paragraph" w:styleId="Kop1">
    <w:name w:val="heading 1"/>
    <w:basedOn w:val="Kop4"/>
    <w:next w:val="Standaard"/>
    <w:link w:val="Kop1Char"/>
    <w:qFormat/>
    <w:rsid w:val="008C37C3"/>
    <w:pPr>
      <w:keepLines w:val="0"/>
      <w:tabs>
        <w:tab w:val="left" w:pos="709"/>
      </w:tabs>
      <w:autoSpaceDE w:val="0"/>
      <w:autoSpaceDN w:val="0"/>
      <w:adjustRightInd w:val="0"/>
      <w:spacing w:before="240" w:after="60" w:line="240" w:lineRule="auto"/>
      <w:ind w:left="0"/>
      <w:jc w:val="left"/>
      <w:outlineLvl w:val="0"/>
    </w:pPr>
    <w:rPr>
      <w:rFonts w:ascii="Arial" w:eastAsia="Times New Roman" w:hAnsi="Arial" w:cs="Arial"/>
      <w:b/>
      <w:bCs/>
      <w:i w:val="0"/>
      <w:iCs w:val="0"/>
      <w:color w:val="000000"/>
      <w:sz w:val="24"/>
      <w:szCs w:val="24"/>
    </w:rPr>
  </w:style>
  <w:style w:type="paragraph" w:styleId="Kop2">
    <w:name w:val="heading 2"/>
    <w:aliases w:val="Subkop"/>
    <w:basedOn w:val="Standaard"/>
    <w:next w:val="Standaard"/>
    <w:link w:val="Kop2Char"/>
    <w:rsid w:val="00050AA2"/>
    <w:pPr>
      <w:spacing w:after="0" w:line="240" w:lineRule="auto"/>
      <w:jc w:val="left"/>
      <w:outlineLvl w:val="1"/>
    </w:pPr>
    <w:rPr>
      <w:rFonts w:eastAsia="SimSun" w:cs="Tahoma"/>
      <w:b/>
      <w:color w:val="00ACD4"/>
      <w:lang w:eastAsia="zh-CN"/>
    </w:rPr>
  </w:style>
  <w:style w:type="paragraph" w:styleId="Kop3">
    <w:name w:val="heading 3"/>
    <w:basedOn w:val="Standaard"/>
    <w:next w:val="Standaard"/>
    <w:link w:val="Kop3Char"/>
    <w:uiPriority w:val="9"/>
    <w:semiHidden/>
    <w:unhideWhenUsed/>
    <w:qFormat/>
    <w:rsid w:val="008C37C3"/>
    <w:pPr>
      <w:tabs>
        <w:tab w:val="left" w:pos="709"/>
      </w:tabs>
      <w:autoSpaceDE w:val="0"/>
      <w:autoSpaceDN w:val="0"/>
      <w:adjustRightInd w:val="0"/>
      <w:spacing w:after="0" w:line="240" w:lineRule="auto"/>
      <w:ind w:left="0"/>
      <w:jc w:val="left"/>
      <w:outlineLvl w:val="2"/>
    </w:pPr>
    <w:rPr>
      <w:rFonts w:ascii="Arial" w:eastAsia="Times New Roman" w:hAnsi="Arial" w:cs="Arial"/>
      <w:color w:val="000000"/>
      <w:sz w:val="20"/>
      <w:szCs w:val="20"/>
    </w:rPr>
  </w:style>
  <w:style w:type="paragraph" w:styleId="Kop4">
    <w:name w:val="heading 4"/>
    <w:basedOn w:val="Standaard"/>
    <w:next w:val="Standaard"/>
    <w:link w:val="Kop4Char"/>
    <w:uiPriority w:val="9"/>
    <w:semiHidden/>
    <w:unhideWhenUsed/>
    <w:qFormat/>
    <w:rsid w:val="008C37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0A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0AA2"/>
  </w:style>
  <w:style w:type="paragraph" w:styleId="Voettekst">
    <w:name w:val="footer"/>
    <w:basedOn w:val="Standaard"/>
    <w:link w:val="VoettekstChar"/>
    <w:uiPriority w:val="99"/>
    <w:unhideWhenUsed/>
    <w:rsid w:val="00050A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0AA2"/>
  </w:style>
  <w:style w:type="character" w:customStyle="1" w:styleId="Kop2Char">
    <w:name w:val="Kop 2 Char"/>
    <w:aliases w:val="Subkop Char"/>
    <w:basedOn w:val="Standaardalinea-lettertype"/>
    <w:link w:val="Kop2"/>
    <w:rsid w:val="00050AA2"/>
    <w:rPr>
      <w:rFonts w:eastAsia="SimSun" w:cs="Tahoma"/>
      <w:b/>
      <w:color w:val="00ACD4"/>
      <w:lang w:eastAsia="zh-CN"/>
    </w:rPr>
  </w:style>
  <w:style w:type="character" w:styleId="Titelvanboek">
    <w:name w:val="Book Title"/>
    <w:basedOn w:val="Standaardalinea-lettertype"/>
    <w:uiPriority w:val="33"/>
    <w:rsid w:val="00050AA2"/>
    <w:rPr>
      <w:b/>
      <w:bCs/>
      <w:i/>
      <w:iCs/>
      <w:spacing w:val="5"/>
    </w:rPr>
  </w:style>
  <w:style w:type="paragraph" w:customStyle="1" w:styleId="Subkoppen">
    <w:name w:val="Subkoppen"/>
    <w:basedOn w:val="Kop2"/>
    <w:link w:val="SubkoppenChar"/>
    <w:qFormat/>
    <w:rsid w:val="00071C24"/>
    <w:pPr>
      <w:ind w:left="426"/>
    </w:pPr>
  </w:style>
  <w:style w:type="paragraph" w:customStyle="1" w:styleId="Tekst">
    <w:name w:val="Tekst"/>
    <w:basedOn w:val="Standaard"/>
    <w:link w:val="TekstChar"/>
    <w:rsid w:val="00050AA2"/>
    <w:pPr>
      <w:ind w:left="851"/>
    </w:pPr>
    <w:rPr>
      <w:lang w:val="en-GB"/>
    </w:rPr>
  </w:style>
  <w:style w:type="character" w:customStyle="1" w:styleId="SubkoppenChar">
    <w:name w:val="Subkoppen Char"/>
    <w:basedOn w:val="Kop2Char"/>
    <w:link w:val="Subkoppen"/>
    <w:rsid w:val="00071C24"/>
    <w:rPr>
      <w:rFonts w:eastAsia="SimSun" w:cs="Tahoma"/>
      <w:b/>
      <w:color w:val="00ACD4"/>
      <w:lang w:eastAsia="zh-CN"/>
    </w:rPr>
  </w:style>
  <w:style w:type="character" w:customStyle="1" w:styleId="TekstChar">
    <w:name w:val="Tekst Char"/>
    <w:basedOn w:val="Standaardalinea-lettertype"/>
    <w:link w:val="Tekst"/>
    <w:rsid w:val="00050AA2"/>
    <w:rPr>
      <w:color w:val="000000" w:themeColor="text1"/>
      <w:lang w:val="en-GB"/>
    </w:rPr>
  </w:style>
  <w:style w:type="paragraph" w:customStyle="1" w:styleId="Hoofdteksten">
    <w:name w:val="Hoofdteksten"/>
    <w:basedOn w:val="Tekst"/>
    <w:link w:val="HoofdtekstenChar"/>
    <w:qFormat/>
    <w:rsid w:val="00071C24"/>
    <w:pPr>
      <w:ind w:left="426"/>
    </w:pPr>
  </w:style>
  <w:style w:type="character" w:customStyle="1" w:styleId="HoofdtekstenChar">
    <w:name w:val="Hoofdteksten Char"/>
    <w:basedOn w:val="TekstChar"/>
    <w:link w:val="Hoofdteksten"/>
    <w:rsid w:val="00071C24"/>
    <w:rPr>
      <w:color w:val="000000" w:themeColor="text1"/>
      <w:lang w:val="en-GB"/>
    </w:rPr>
  </w:style>
  <w:style w:type="paragraph" w:styleId="Ballontekst">
    <w:name w:val="Balloon Text"/>
    <w:basedOn w:val="Standaard"/>
    <w:link w:val="BallontekstChar"/>
    <w:uiPriority w:val="99"/>
    <w:semiHidden/>
    <w:unhideWhenUsed/>
    <w:rsid w:val="00F45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5665"/>
    <w:rPr>
      <w:rFonts w:ascii="Tahoma" w:hAnsi="Tahoma" w:cs="Tahoma"/>
      <w:color w:val="000000" w:themeColor="text1"/>
      <w:sz w:val="16"/>
      <w:szCs w:val="16"/>
    </w:rPr>
  </w:style>
  <w:style w:type="character" w:customStyle="1" w:styleId="Kop1Char">
    <w:name w:val="Kop 1 Char"/>
    <w:basedOn w:val="Standaardalinea-lettertype"/>
    <w:link w:val="Kop1"/>
    <w:rsid w:val="008C37C3"/>
    <w:rPr>
      <w:rFonts w:ascii="Arial" w:eastAsia="Times New Roman" w:hAnsi="Arial" w:cs="Arial"/>
      <w:b/>
      <w:bCs/>
      <w:color w:val="000000"/>
      <w:sz w:val="24"/>
      <w:szCs w:val="24"/>
    </w:rPr>
  </w:style>
  <w:style w:type="character" w:customStyle="1" w:styleId="Kop3Char">
    <w:name w:val="Kop 3 Char"/>
    <w:basedOn w:val="Standaardalinea-lettertype"/>
    <w:link w:val="Kop3"/>
    <w:uiPriority w:val="9"/>
    <w:semiHidden/>
    <w:rsid w:val="008C37C3"/>
    <w:rPr>
      <w:rFonts w:ascii="Arial" w:eastAsia="Times New Roman" w:hAnsi="Arial" w:cs="Arial"/>
      <w:color w:val="000000"/>
      <w:sz w:val="20"/>
      <w:szCs w:val="20"/>
    </w:rPr>
  </w:style>
  <w:style w:type="character" w:customStyle="1" w:styleId="Kop4Char">
    <w:name w:val="Kop 4 Char"/>
    <w:basedOn w:val="Standaardalinea-lettertype"/>
    <w:link w:val="Kop4"/>
    <w:uiPriority w:val="9"/>
    <w:semiHidden/>
    <w:rsid w:val="008C37C3"/>
    <w:rPr>
      <w:rFonts w:asciiTheme="majorHAnsi" w:eastAsiaTheme="majorEastAsia" w:hAnsiTheme="majorHAnsi" w:cstheme="majorBidi"/>
      <w:i/>
      <w:iCs/>
      <w:color w:val="2E74B5" w:themeColor="accent1" w:themeShade="BF"/>
    </w:rPr>
  </w:style>
  <w:style w:type="character" w:styleId="Tekstvantijdelijkeaanduiding">
    <w:name w:val="Placeholder Text"/>
    <w:basedOn w:val="Standaardalinea-lettertype"/>
    <w:uiPriority w:val="99"/>
    <w:unhideWhenUsed/>
    <w:rsid w:val="008C37C3"/>
    <w:rPr>
      <w:rFonts w:eastAsiaTheme="minorEastAsia" w:cstheme="minorBidi"/>
      <w:bCs w:val="0"/>
      <w:iCs w:val="0"/>
      <w:color w:val="80808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lgemeen\MarketingCommunicatie\Huisstijl\Sjablonen\VNAB%20notiti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Pr>
      <w:rFonts w:eastAsiaTheme="minorEastAsia" w:cstheme="minorBidi"/>
      <w:bCs w:val="0"/>
      <w:iCs w:val="0"/>
      <w:color w:val="808080"/>
      <w:szCs w:val="20"/>
      <w:lang w:val="nl-NL"/>
    </w:rPr>
  </w:style>
  <w:style w:type="paragraph" w:customStyle="1" w:styleId="F4B209DB7E27401BB14AC934BC88F6DC">
    <w:name w:val="F4B209DB7E27401BB14AC934BC88F6DC"/>
  </w:style>
  <w:style w:type="paragraph" w:customStyle="1" w:styleId="BF72E607FEB64665B4D54127F3EE4EDD">
    <w:name w:val="BF72E607FEB64665B4D54127F3EE4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CB2B2F5B0AC478E5095C17962F402" ma:contentTypeVersion="2" ma:contentTypeDescription="Een nieuw document maken." ma:contentTypeScope="" ma:versionID="c4d461f4f0c4c8bcb131877473bd4e40">
  <xsd:schema xmlns:xsd="http://www.w3.org/2001/XMLSchema" xmlns:xs="http://www.w3.org/2001/XMLSchema" xmlns:p="http://schemas.microsoft.com/office/2006/metadata/properties" xmlns:ns2="ffc2cd7a-6d45-49ba-8bad-5a90c07d45b6" targetNamespace="http://schemas.microsoft.com/office/2006/metadata/properties" ma:root="true" ma:fieldsID="5a5857a52c401446be4e47c195dfeec2" ns2:_="">
    <xsd:import namespace="ffc2cd7a-6d45-49ba-8bad-5a90c07d45b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2cd7a-6d45-49ba-8bad-5a90c07d45b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35A6D-DACD-429A-86D6-4FDF92C0F6E1}"/>
</file>

<file path=customXml/itemProps2.xml><?xml version="1.0" encoding="utf-8"?>
<ds:datastoreItem xmlns:ds="http://schemas.openxmlformats.org/officeDocument/2006/customXml" ds:itemID="{B6BA6E4D-3734-4FF1-912E-6AA818977A88}"/>
</file>

<file path=customXml/itemProps3.xml><?xml version="1.0" encoding="utf-8"?>
<ds:datastoreItem xmlns:ds="http://schemas.openxmlformats.org/officeDocument/2006/customXml" ds:itemID="{4725EC74-FF8B-4B7C-BED8-78A0F037749C}"/>
</file>

<file path=docProps/app.xml><?xml version="1.0" encoding="utf-8"?>
<Properties xmlns="http://schemas.openxmlformats.org/officeDocument/2006/extended-properties" xmlns:vt="http://schemas.openxmlformats.org/officeDocument/2006/docPropsVTypes">
  <Template>VNAB notitie.dotm</Template>
  <TotalTime>1</TotalTime>
  <Pages>3</Pages>
  <Words>841</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 G.L. (Genevieve) Jubitana</dc:creator>
  <cp:keywords/>
  <dc:description/>
  <cp:lastModifiedBy>Geneviëve Jubitana</cp:lastModifiedBy>
  <cp:revision>1</cp:revision>
  <dcterms:created xsi:type="dcterms:W3CDTF">2015-06-17T10:48:00Z</dcterms:created>
  <dcterms:modified xsi:type="dcterms:W3CDTF">2015-06-17T10:50:00Z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0x010100318CB2B2F5B0AC478E5095C17962F402</vt:lpwstr>
  </property>
</Properties>
</file>